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colors3.xml" ContentType="application/vnd.openxmlformats-officedocument.drawingml.diagramColors+xml"/>
  <Override PartName="/word/diagrams/colors1.xml" ContentType="application/vnd.openxmlformats-officedocument.drawingml.diagramColors+xml"/>
  <Override PartName="/word/diagrams/drawing6.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diagrams/drawing4.xml" ContentType="application/vnd.ms-office.drawingml.diagramDrawing+xml"/>
  <Override PartName="/word/charts/chart19.xml" ContentType="application/vnd.openxmlformats-officedocument.drawingml.chart+xml"/>
  <Override PartName="/word/charts/chart7.xml" ContentType="application/vnd.openxmlformats-officedocument.drawingml.chart+xml"/>
  <Override PartName="/word/diagrams/drawing2.xml" ContentType="application/vnd.ms-office.drawingml.diagramDrawing+xml"/>
  <Override PartName="/word/charts/chart17.xml" ContentType="application/vnd.openxmlformats-officedocument.drawingml.chart+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diagrams/layout5.xml" ContentType="application/vnd.openxmlformats-officedocument.drawingml.diagramLayout+xml"/>
  <Override PartName="/word/diagrams/layout6.xml" ContentType="application/vnd.openxmlformats-officedocument.drawingml.diagramLayout+xml"/>
  <Override PartName="/word/charts/chart2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diagrams/layout1.xml" ContentType="application/vnd.openxmlformats-officedocument.drawingml.diagramLayout+xml"/>
  <Override PartName="/word/charts/chart11.xml" ContentType="application/vnd.openxmlformats-officedocument.drawingml.chart+xml"/>
  <Override PartName="/word/charts/chart12.xml" ContentType="application/vnd.openxmlformats-officedocument.drawingml.char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Default Extension="png" ContentType="image/png"/>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drawing5.xml" ContentType="application/vnd.ms-office.drawingml.diagramDrawing+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diagrams/drawing3.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diagrams/drawing1.xml" ContentType="application/vnd.ms-office.drawingml.diagramDrawing+xml"/>
  <Override PartName="/word/charts/chart18.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658" w:rsidRPr="00477F96" w:rsidRDefault="00B14658" w:rsidP="00477F96">
      <w:pPr>
        <w:spacing w:after="0" w:line="240" w:lineRule="auto"/>
        <w:jc w:val="center"/>
        <w:rPr>
          <w:rFonts w:ascii="Times New Roman" w:hAnsi="Times New Roman" w:cs="Times New Roman"/>
        </w:rPr>
      </w:pPr>
      <w:r w:rsidRPr="00477F96">
        <w:rPr>
          <w:rFonts w:ascii="Times New Roman" w:hAnsi="Times New Roman" w:cs="Times New Roman"/>
          <w:noProof/>
        </w:rPr>
        <w:drawing>
          <wp:inline distT="0" distB="0" distL="0" distR="0">
            <wp:extent cx="821285" cy="1161818"/>
            <wp:effectExtent l="19050" t="0" r="0" b="0"/>
            <wp:docPr id="1" name="Picture 0" descr="New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Image.JPG"/>
                    <pic:cNvPicPr/>
                  </pic:nvPicPr>
                  <pic:blipFill>
                    <a:blip r:embed="rId8" cstate="print"/>
                    <a:stretch>
                      <a:fillRect/>
                    </a:stretch>
                  </pic:blipFill>
                  <pic:spPr>
                    <a:xfrm>
                      <a:off x="0" y="0"/>
                      <a:ext cx="821285" cy="1161818"/>
                    </a:xfrm>
                    <a:prstGeom prst="rect">
                      <a:avLst/>
                    </a:prstGeom>
                  </pic:spPr>
                </pic:pic>
              </a:graphicData>
            </a:graphic>
          </wp:inline>
        </w:drawing>
      </w:r>
    </w:p>
    <w:p w:rsidR="00B14658" w:rsidRPr="00477F96" w:rsidRDefault="00B14658" w:rsidP="00477F96">
      <w:pPr>
        <w:spacing w:after="0" w:line="240" w:lineRule="auto"/>
        <w:jc w:val="center"/>
        <w:rPr>
          <w:rFonts w:ascii="Times New Roman" w:hAnsi="Times New Roman" w:cs="Times New Roman"/>
          <w:b/>
          <w:bCs/>
          <w:sz w:val="52"/>
          <w:szCs w:val="52"/>
        </w:rPr>
      </w:pPr>
      <w:r w:rsidRPr="00477F96">
        <w:rPr>
          <w:rFonts w:ascii="Times New Roman" w:hAnsi="Times New Roman" w:cs="Times New Roman"/>
          <w:b/>
          <w:bCs/>
          <w:sz w:val="52"/>
          <w:szCs w:val="52"/>
        </w:rPr>
        <w:t>State of Palestine</w:t>
      </w:r>
    </w:p>
    <w:p w:rsidR="00B14658" w:rsidRPr="00477F96" w:rsidRDefault="00B14658" w:rsidP="00477F96">
      <w:pPr>
        <w:spacing w:after="0" w:line="240" w:lineRule="auto"/>
        <w:jc w:val="center"/>
        <w:rPr>
          <w:rFonts w:ascii="Times New Roman" w:hAnsi="Times New Roman" w:cs="Times New Roman"/>
          <w:b/>
          <w:bCs/>
          <w:sz w:val="48"/>
          <w:szCs w:val="48"/>
        </w:rPr>
      </w:pPr>
      <w:r w:rsidRPr="00477F96">
        <w:rPr>
          <w:rFonts w:ascii="Times New Roman" w:hAnsi="Times New Roman" w:cs="Times New Roman"/>
          <w:b/>
          <w:bCs/>
          <w:sz w:val="48"/>
          <w:szCs w:val="48"/>
        </w:rPr>
        <w:t>Palestinian Central Bureau of Statistics</w:t>
      </w:r>
    </w:p>
    <w:p w:rsidR="00B14658" w:rsidRPr="00477F96" w:rsidRDefault="00B14658" w:rsidP="00477F96">
      <w:pPr>
        <w:tabs>
          <w:tab w:val="left" w:pos="6069"/>
        </w:tabs>
        <w:spacing w:after="0" w:line="240" w:lineRule="auto"/>
        <w:rPr>
          <w:rFonts w:ascii="Times New Roman" w:hAnsi="Times New Roman" w:cs="Times New Roman"/>
          <w:b/>
          <w:bCs/>
        </w:rPr>
      </w:pPr>
      <w:r w:rsidRPr="00477F96">
        <w:rPr>
          <w:rFonts w:ascii="Times New Roman" w:hAnsi="Times New Roman" w:cs="Times New Roman"/>
          <w:b/>
          <w:bCs/>
        </w:rPr>
        <w:tab/>
      </w:r>
    </w:p>
    <w:p w:rsidR="00B14658" w:rsidRPr="00477F96" w:rsidRDefault="00B14658" w:rsidP="00477F96">
      <w:pPr>
        <w:tabs>
          <w:tab w:val="left" w:pos="5481"/>
          <w:tab w:val="left" w:pos="6069"/>
        </w:tabs>
        <w:spacing w:after="0" w:line="240" w:lineRule="auto"/>
        <w:rPr>
          <w:rFonts w:ascii="Times New Roman" w:hAnsi="Times New Roman" w:cs="Times New Roman"/>
          <w:b/>
          <w:bCs/>
        </w:rPr>
      </w:pPr>
      <w:r w:rsidRPr="00477F96">
        <w:rPr>
          <w:rFonts w:ascii="Times New Roman" w:hAnsi="Times New Roman" w:cs="Times New Roman"/>
          <w:b/>
          <w:bCs/>
        </w:rPr>
        <w:tab/>
      </w:r>
      <w:r w:rsidRPr="00477F96">
        <w:rPr>
          <w:rFonts w:ascii="Times New Roman" w:hAnsi="Times New Roman" w:cs="Times New Roman"/>
          <w:b/>
          <w:bCs/>
        </w:rPr>
        <w:tab/>
      </w: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pStyle w:val="xl69"/>
        <w:tabs>
          <w:tab w:val="left" w:pos="3150"/>
        </w:tabs>
        <w:spacing w:before="0" w:beforeAutospacing="0" w:after="0" w:afterAutospacing="0"/>
        <w:jc w:val="left"/>
        <w:textAlignment w:val="auto"/>
        <w:rPr>
          <w:rFonts w:eastAsia="Calibri" w:cs="Times New Roman" w:hint="default"/>
        </w:rPr>
      </w:pPr>
      <w:r w:rsidRPr="00477F96">
        <w:rPr>
          <w:rFonts w:eastAsia="Calibri" w:cs="Times New Roman" w:hint="default"/>
        </w:rPr>
        <w:tab/>
      </w: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spacing w:after="0" w:line="240" w:lineRule="auto"/>
        <w:jc w:val="center"/>
        <w:rPr>
          <w:rFonts w:ascii="Times New Roman" w:hAnsi="Times New Roman" w:cs="Times New Roman"/>
          <w:b/>
          <w:bCs/>
        </w:rPr>
      </w:pPr>
    </w:p>
    <w:p w:rsidR="00B14658" w:rsidRPr="00477F96" w:rsidRDefault="00B14658" w:rsidP="00477F96">
      <w:pPr>
        <w:pStyle w:val="Heading7"/>
        <w:keepLines w:val="0"/>
        <w:spacing w:before="0" w:line="240" w:lineRule="auto"/>
        <w:jc w:val="center"/>
        <w:rPr>
          <w:rFonts w:ascii="Times New Roman" w:eastAsia="Calibri" w:hAnsi="Times New Roman" w:cs="Times New Roman"/>
          <w:b/>
          <w:bCs/>
          <w:i w:val="0"/>
          <w:iCs w:val="0"/>
          <w:color w:val="auto"/>
          <w:sz w:val="40"/>
          <w:szCs w:val="40"/>
        </w:rPr>
      </w:pPr>
      <w:r w:rsidRPr="00477F96">
        <w:rPr>
          <w:rFonts w:ascii="Times New Roman" w:eastAsia="Calibri" w:hAnsi="Times New Roman" w:cs="Times New Roman"/>
          <w:b/>
          <w:bCs/>
          <w:i w:val="0"/>
          <w:iCs w:val="0"/>
          <w:color w:val="auto"/>
          <w:sz w:val="40"/>
          <w:szCs w:val="40"/>
        </w:rPr>
        <w:t xml:space="preserve">Performance of the Palestinian </w:t>
      </w:r>
    </w:p>
    <w:p w:rsidR="00B14658" w:rsidRPr="00477F96" w:rsidRDefault="00B14658" w:rsidP="00477F96">
      <w:pPr>
        <w:pStyle w:val="Heading7"/>
        <w:keepLines w:val="0"/>
        <w:spacing w:before="0" w:line="240" w:lineRule="auto"/>
        <w:jc w:val="center"/>
        <w:rPr>
          <w:rFonts w:ascii="Times New Roman" w:eastAsia="Calibri" w:hAnsi="Times New Roman" w:cs="Times New Roman"/>
          <w:b/>
          <w:bCs/>
          <w:i w:val="0"/>
          <w:iCs w:val="0"/>
          <w:color w:val="auto"/>
          <w:sz w:val="40"/>
          <w:szCs w:val="40"/>
        </w:rPr>
      </w:pPr>
      <w:r w:rsidRPr="00477F96">
        <w:rPr>
          <w:rFonts w:ascii="Times New Roman" w:eastAsia="Calibri" w:hAnsi="Times New Roman" w:cs="Times New Roman"/>
          <w:b/>
          <w:bCs/>
          <w:i w:val="0"/>
          <w:iCs w:val="0"/>
          <w:color w:val="auto"/>
          <w:sz w:val="40"/>
          <w:szCs w:val="40"/>
        </w:rPr>
        <w:t>Economy, 2018</w:t>
      </w: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p w:rsidR="00B14658" w:rsidRDefault="00B14658" w:rsidP="00477F96">
      <w:pPr>
        <w:spacing w:after="0" w:line="240" w:lineRule="auto"/>
        <w:jc w:val="center"/>
        <w:rPr>
          <w:rFonts w:ascii="Times New Roman" w:hAnsi="Times New Roman" w:cs="Times New Roman"/>
          <w:b/>
          <w:bCs/>
          <w:sz w:val="28"/>
          <w:szCs w:val="28"/>
        </w:rPr>
      </w:pPr>
    </w:p>
    <w:p w:rsidR="00C062A5" w:rsidRDefault="00C062A5" w:rsidP="00477F96">
      <w:pPr>
        <w:spacing w:after="0" w:line="240" w:lineRule="auto"/>
        <w:jc w:val="center"/>
        <w:rPr>
          <w:rFonts w:ascii="Times New Roman" w:hAnsi="Times New Roman" w:cs="Times New Roman"/>
          <w:b/>
          <w:bCs/>
          <w:sz w:val="28"/>
          <w:szCs w:val="28"/>
        </w:rPr>
      </w:pPr>
    </w:p>
    <w:p w:rsidR="00C062A5" w:rsidRPr="00477F96" w:rsidRDefault="00C062A5" w:rsidP="00477F96">
      <w:pPr>
        <w:spacing w:after="0" w:line="240" w:lineRule="auto"/>
        <w:jc w:val="center"/>
        <w:rPr>
          <w:rFonts w:ascii="Times New Roman" w:hAnsi="Times New Roman" w:cs="Times New Roman"/>
          <w:b/>
          <w:bCs/>
          <w:sz w:val="28"/>
          <w:szCs w:val="28"/>
        </w:rPr>
      </w:pPr>
    </w:p>
    <w:p w:rsidR="00B14658" w:rsidRPr="00477F96" w:rsidRDefault="00B14658" w:rsidP="00477F96">
      <w:pPr>
        <w:spacing w:after="0" w:line="240" w:lineRule="auto"/>
        <w:jc w:val="center"/>
        <w:rPr>
          <w:rFonts w:ascii="Times New Roman" w:hAnsi="Times New Roman" w:cs="Times New Roman"/>
          <w:b/>
          <w:bCs/>
          <w:sz w:val="28"/>
          <w:szCs w:val="28"/>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C062A5" w:rsidRPr="00373260" w:rsidTr="00971AD4">
        <w:trPr>
          <w:trHeight w:val="1134"/>
          <w:jc w:val="center"/>
        </w:trPr>
        <w:tc>
          <w:tcPr>
            <w:tcW w:w="4453" w:type="dxa"/>
            <w:vAlign w:val="center"/>
          </w:tcPr>
          <w:p w:rsidR="00C062A5" w:rsidRPr="00C423D7" w:rsidRDefault="00C062A5" w:rsidP="00C062A5">
            <w:pPr>
              <w:rPr>
                <w:rFonts w:ascii="Times New Roman" w:hAnsi="Times New Roman"/>
                <w:lang w:val="en-US"/>
              </w:rPr>
            </w:pPr>
            <w:r>
              <w:rPr>
                <w:noProof/>
              </w:rPr>
              <w:drawing>
                <wp:inline distT="0" distB="0" distL="0" distR="0">
                  <wp:extent cx="792000" cy="792000"/>
                  <wp:effectExtent l="19050" t="0" r="8100" b="0"/>
                  <wp:docPr id="9"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454" w:type="dxa"/>
            <w:vAlign w:val="center"/>
          </w:tcPr>
          <w:p w:rsidR="00C062A5" w:rsidRPr="00C423D7" w:rsidRDefault="00C062A5" w:rsidP="00971AD4">
            <w:pPr>
              <w:pStyle w:val="Heading5"/>
              <w:jc w:val="right"/>
              <w:outlineLvl w:val="4"/>
              <w:rPr>
                <w:rFonts w:ascii="Times New Roman" w:eastAsia="Calibri" w:hAnsi="Times New Roman" w:cs="Times New Roman"/>
                <w:b/>
                <w:bCs/>
                <w:sz w:val="28"/>
                <w:szCs w:val="28"/>
                <w:lang w:val="en-US"/>
              </w:rPr>
            </w:pPr>
            <w:r w:rsidRPr="00C423D7">
              <w:rPr>
                <w:rFonts w:eastAsia="Calibri" w:cs="Times New Roman"/>
                <w:b/>
                <w:bCs/>
                <w:noProof/>
                <w:sz w:val="28"/>
                <w:szCs w:val="28"/>
              </w:rPr>
              <w:drawing>
                <wp:inline distT="0" distB="0" distL="0" distR="0">
                  <wp:extent cx="900000" cy="329268"/>
                  <wp:effectExtent l="19050" t="0" r="0" b="0"/>
                  <wp:docPr id="10"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C062A5" w:rsidRPr="00C423D7" w:rsidRDefault="00C062A5" w:rsidP="00971AD4">
            <w:pPr>
              <w:jc w:val="right"/>
              <w:rPr>
                <w:rFonts w:ascii="Times New Roman" w:hAnsi="Times New Roman"/>
                <w:sz w:val="18"/>
                <w:szCs w:val="18"/>
                <w:lang w:val="en-US"/>
              </w:rPr>
            </w:pPr>
          </w:p>
          <w:p w:rsidR="00C062A5" w:rsidRPr="00C062A5" w:rsidRDefault="00C062A5" w:rsidP="00971AD4">
            <w:pPr>
              <w:pStyle w:val="Heading5"/>
              <w:jc w:val="center"/>
              <w:outlineLvl w:val="4"/>
              <w:rPr>
                <w:rFonts w:ascii="Times New Roman" w:eastAsia="Calibri" w:hAnsi="Times New Roman" w:cs="Times New Roman"/>
                <w:b/>
                <w:bCs/>
                <w:color w:val="auto"/>
                <w:sz w:val="28"/>
                <w:szCs w:val="28"/>
              </w:rPr>
            </w:pPr>
            <w:r w:rsidRPr="00C062A5">
              <w:rPr>
                <w:rFonts w:ascii="Times New Roman" w:eastAsia="Calibri" w:hAnsi="Times New Roman" w:cs="Times New Roman"/>
                <w:color w:val="auto"/>
                <w:sz w:val="28"/>
                <w:szCs w:val="28"/>
              </w:rPr>
              <w:t xml:space="preserve">                                       </w:t>
            </w:r>
            <w:r w:rsidRPr="00C062A5">
              <w:rPr>
                <w:rFonts w:ascii="Times New Roman" w:eastAsia="Calibri" w:hAnsi="Times New Roman" w:cs="Times New Roman"/>
                <w:b/>
                <w:bCs/>
                <w:color w:val="auto"/>
                <w:sz w:val="28"/>
                <w:szCs w:val="28"/>
              </w:rPr>
              <w:t>May, 201</w:t>
            </w:r>
            <w:r w:rsidRPr="00C062A5">
              <w:rPr>
                <w:rFonts w:ascii="Times New Roman" w:eastAsia="Calibri" w:hAnsi="Times New Roman" w:cs="Times New Roman" w:hint="cs"/>
                <w:b/>
                <w:bCs/>
                <w:color w:val="auto"/>
                <w:sz w:val="28"/>
                <w:szCs w:val="28"/>
                <w:rtl/>
              </w:rPr>
              <w:t>9</w:t>
            </w:r>
          </w:p>
          <w:p w:rsidR="00C062A5" w:rsidRPr="00C423D7" w:rsidRDefault="00C062A5" w:rsidP="00971AD4">
            <w:pPr>
              <w:jc w:val="right"/>
              <w:rPr>
                <w:rFonts w:ascii="Times New Roman" w:hAnsi="Times New Roman"/>
                <w:sz w:val="14"/>
                <w:szCs w:val="14"/>
                <w:lang w:val="en-US"/>
              </w:rPr>
            </w:pPr>
          </w:p>
        </w:tc>
      </w:tr>
    </w:tbl>
    <w:p w:rsidR="0008385C" w:rsidRDefault="0008385C" w:rsidP="00477F96">
      <w:pPr>
        <w:pStyle w:val="BodyText"/>
        <w:bidi w:val="0"/>
        <w:spacing w:after="0" w:line="240" w:lineRule="auto"/>
        <w:rPr>
          <w:rFonts w:ascii="Times New Roman" w:hAnsi="Times New Roman" w:cs="Times New Roman"/>
          <w:sz w:val="24"/>
          <w:szCs w:val="24"/>
        </w:rPr>
      </w:pPr>
    </w:p>
    <w:p w:rsidR="00B14658" w:rsidRPr="00477F96" w:rsidRDefault="00B14658" w:rsidP="0008385C">
      <w:pPr>
        <w:pStyle w:val="BodyText"/>
        <w:bidi w:val="0"/>
        <w:spacing w:after="0" w:line="240" w:lineRule="auto"/>
        <w:rPr>
          <w:rFonts w:ascii="Times New Roman" w:hAnsi="Times New Roman" w:cs="Times New Roman"/>
          <w:sz w:val="24"/>
          <w:szCs w:val="24"/>
        </w:rPr>
      </w:pPr>
      <w:r w:rsidRPr="00477F96">
        <w:rPr>
          <w:rFonts w:ascii="Times New Roman" w:hAnsi="Times New Roman" w:cs="Times New Roman"/>
          <w:sz w:val="24"/>
          <w:szCs w:val="24"/>
        </w:rPr>
        <w:t>PAGE NUMBERS OF ENGLISH TEXT ARE PRINTED IN SQUARE BRACKETS.</w:t>
      </w:r>
    </w:p>
    <w:p w:rsidR="00B14658" w:rsidRPr="00477F96" w:rsidRDefault="00B14658" w:rsidP="00477F96">
      <w:pPr>
        <w:pStyle w:val="BodyText"/>
        <w:bidi w:val="0"/>
        <w:spacing w:after="0" w:line="240" w:lineRule="auto"/>
        <w:rPr>
          <w:rFonts w:ascii="Times New Roman" w:hAnsi="Times New Roman" w:cs="Times New Roman"/>
          <w:sz w:val="24"/>
          <w:szCs w:val="24"/>
        </w:rPr>
      </w:pPr>
      <w:r w:rsidRPr="00477F96">
        <w:rPr>
          <w:rFonts w:ascii="Times New Roman" w:hAnsi="Times New Roman" w:cs="Times New Roman"/>
          <w:sz w:val="24"/>
          <w:szCs w:val="24"/>
        </w:rPr>
        <w:t>TABLES ARE PRINTED IN ARABIC FORMAT (FROM RIGHT TO LEFT).</w:t>
      </w:r>
    </w:p>
    <w:p w:rsidR="00B14658" w:rsidRPr="00477F96" w:rsidRDefault="00B14658" w:rsidP="00477F96">
      <w:pPr>
        <w:pStyle w:val="BodyText"/>
        <w:bidi w:val="0"/>
        <w:spacing w:after="0" w:line="240" w:lineRule="auto"/>
        <w:rPr>
          <w:rFonts w:ascii="Times New Roman" w:hAnsi="Times New Roman" w:cs="Times New Roman"/>
          <w:sz w:val="24"/>
          <w:szCs w:val="24"/>
        </w:rPr>
      </w:pPr>
    </w:p>
    <w:p w:rsidR="00B14658" w:rsidRPr="00477F96" w:rsidRDefault="0069364B" w:rsidP="00477F96">
      <w:pPr>
        <w:pStyle w:val="BodyText"/>
        <w:bidi w:val="0"/>
        <w:spacing w:after="0" w:line="240" w:lineRule="auto"/>
        <w:rPr>
          <w:rFonts w:ascii="Times New Roman" w:hAnsi="Times New Roman" w:cs="Times New Roman"/>
          <w:b/>
          <w:bCs/>
          <w:sz w:val="20"/>
          <w:szCs w:val="20"/>
        </w:rPr>
      </w:pPr>
      <w:r w:rsidRPr="0069364B">
        <w:rPr>
          <w:rFonts w:ascii="Times New Roman" w:hAnsi="Times New Roman" w:cs="Times New Roman"/>
          <w:noProof/>
          <w:sz w:val="24"/>
          <w:szCs w:val="24"/>
          <w:lang w:val="en-US" w:eastAsia="en-US"/>
        </w:rPr>
        <w:pict>
          <v:shapetype id="_x0000_t202" coordsize="21600,21600" o:spt="202" path="m,l,21600r21600,l21600,xe">
            <v:stroke joinstyle="miter"/>
            <v:path gradientshapeok="t" o:connecttype="rect"/>
          </v:shapetype>
          <v:shape id="Text Box 2" o:spid="_x0000_s1026" type="#_x0000_t202" style="position:absolute;margin-left:3.65pt;margin-top:30.1pt;width:449.9pt;height:64.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" strokeweight="6pt">
            <v:stroke linestyle="thickBetweenThin"/>
            <v:textbox style="mso-next-textbox:#Text Box 2">
              <w:txbxContent>
                <w:p w:rsidR="00D97CA4" w:rsidRPr="001B029C" w:rsidRDefault="00D97CA4" w:rsidP="00B14658">
                  <w:pPr>
                    <w:pStyle w:val="BodyText2"/>
                    <w:spacing w:after="100" w:afterAutospacing="1" w:line="240" w:lineRule="atLeast"/>
                    <w:jc w:val="both"/>
                    <w:rPr>
                      <w:rFonts w:ascii="Times New Roman" w:hAnsi="Times New Roman" w:cs="Times New Roman"/>
                      <w:b/>
                      <w:bCs/>
                      <w:sz w:val="30"/>
                      <w:szCs w:val="30"/>
                      <w:rtl/>
                    </w:rPr>
                  </w:pPr>
                  <w:r w:rsidRPr="001B029C">
                    <w:rPr>
                      <w:rFonts w:ascii="Times New Roman" w:hAnsi="Times New Roman" w:cs="Times New Roman"/>
                      <w:b/>
                      <w:bCs/>
                      <w:sz w:val="30"/>
                      <w:szCs w:val="30"/>
                    </w:rPr>
                    <w:t>This document is prepared in accordance with the standard procedures stated in the Code of Practice for Palestine Official Statistics 2006</w:t>
                  </w:r>
                </w:p>
              </w:txbxContent>
            </v:textbox>
            <w10:wrap type="square"/>
          </v:shape>
        </w:pict>
      </w:r>
    </w:p>
    <w:p w:rsidR="00B14658" w:rsidRPr="00477F96" w:rsidRDefault="00B14658" w:rsidP="00477F96">
      <w:pPr>
        <w:pStyle w:val="BodyText"/>
        <w:bidi w:val="0"/>
        <w:spacing w:after="0" w:line="240" w:lineRule="auto"/>
        <w:rPr>
          <w:rFonts w:ascii="Times New Roman" w:hAnsi="Times New Roman" w:cs="Times New Roman"/>
          <w:b/>
          <w:bCs/>
          <w:sz w:val="20"/>
          <w:szCs w:val="20"/>
        </w:rPr>
      </w:pPr>
    </w:p>
    <w:p w:rsidR="00B14658" w:rsidRPr="00477F96" w:rsidRDefault="00B14658" w:rsidP="00477F96">
      <w:pPr>
        <w:pStyle w:val="BodyText"/>
        <w:bidi w:val="0"/>
        <w:spacing w:after="0" w:line="240" w:lineRule="auto"/>
        <w:rPr>
          <w:rFonts w:ascii="Times New Roman" w:hAnsi="Times New Roman" w:cs="Times New Roman"/>
          <w:b/>
          <w:bCs/>
          <w:sz w:val="20"/>
          <w:szCs w:val="20"/>
        </w:rPr>
      </w:pPr>
    </w:p>
    <w:p w:rsidR="00B14658" w:rsidRPr="00477F96" w:rsidRDefault="00B14658" w:rsidP="00477F96">
      <w:pPr>
        <w:pStyle w:val="BodyText"/>
        <w:bidi w:val="0"/>
        <w:spacing w:after="0" w:line="240" w:lineRule="auto"/>
        <w:rPr>
          <w:rFonts w:ascii="Times New Roman" w:hAnsi="Times New Roman" w:cs="Times New Roman"/>
          <w:b/>
          <w:bCs/>
          <w:sz w:val="20"/>
          <w:szCs w:val="20"/>
        </w:rPr>
      </w:pPr>
    </w:p>
    <w:p w:rsidR="00B14658" w:rsidRPr="00477F96" w:rsidRDefault="00B14658" w:rsidP="00477F96">
      <w:pPr>
        <w:pStyle w:val="Title"/>
        <w:jc w:val="left"/>
        <w:rPr>
          <w:rFonts w:cs="Times New Roman"/>
          <w:b w:val="0"/>
          <w:bCs w:val="0"/>
          <w:sz w:val="20"/>
          <w:szCs w:val="20"/>
          <w:rtl/>
        </w:rPr>
      </w:pPr>
    </w:p>
    <w:p w:rsidR="00B14658" w:rsidRPr="00477F96" w:rsidRDefault="00B14658" w:rsidP="00477F96">
      <w:pPr>
        <w:pStyle w:val="Title"/>
        <w:jc w:val="left"/>
        <w:rPr>
          <w:rFonts w:cs="Times New Roman"/>
          <w:b w:val="0"/>
          <w:bCs w:val="0"/>
          <w:sz w:val="20"/>
          <w:szCs w:val="20"/>
          <w:rtl/>
        </w:rPr>
      </w:pPr>
    </w:p>
    <w:p w:rsidR="00B14658" w:rsidRPr="00477F96" w:rsidRDefault="00B14658" w:rsidP="00477F96">
      <w:pPr>
        <w:pStyle w:val="Title"/>
        <w:jc w:val="left"/>
        <w:rPr>
          <w:rFonts w:cs="Times New Roman"/>
          <w:b w:val="0"/>
          <w:bCs w:val="0"/>
          <w:sz w:val="20"/>
          <w:szCs w:val="20"/>
        </w:rPr>
      </w:pPr>
    </w:p>
    <w:p w:rsidR="00B14658" w:rsidRPr="00477F96" w:rsidRDefault="00B14658" w:rsidP="00477F96">
      <w:pPr>
        <w:pStyle w:val="Title"/>
        <w:jc w:val="left"/>
        <w:rPr>
          <w:rFonts w:cs="Times New Roman"/>
          <w:b w:val="0"/>
          <w:bCs w:val="0"/>
          <w:sz w:val="20"/>
          <w:szCs w:val="20"/>
        </w:rPr>
      </w:pPr>
    </w:p>
    <w:p w:rsidR="00B14658" w:rsidRPr="00477F96" w:rsidRDefault="00B14658" w:rsidP="00477F96">
      <w:pPr>
        <w:pStyle w:val="Title"/>
        <w:rPr>
          <w:rFonts w:cs="Times New Roman"/>
          <w:b w:val="0"/>
          <w:bCs w:val="0"/>
          <w:noProof/>
          <w:sz w:val="20"/>
          <w:szCs w:val="20"/>
          <w:rtl/>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noProof/>
          <w:sz w:val="20"/>
          <w:szCs w:val="20"/>
        </w:rPr>
      </w:pPr>
    </w:p>
    <w:p w:rsidR="00B14658" w:rsidRPr="00477F96" w:rsidRDefault="00B14658" w:rsidP="00477F96">
      <w:pPr>
        <w:pStyle w:val="Title"/>
        <w:rPr>
          <w:rFonts w:cs="Times New Roman"/>
          <w:b w:val="0"/>
          <w:bCs w:val="0"/>
          <w:sz w:val="20"/>
          <w:szCs w:val="20"/>
        </w:rPr>
      </w:pPr>
    </w:p>
    <w:p w:rsidR="00B14658" w:rsidRPr="00477F96" w:rsidRDefault="00B14658" w:rsidP="00477F96">
      <w:pPr>
        <w:pStyle w:val="Title"/>
        <w:jc w:val="left"/>
        <w:rPr>
          <w:rFonts w:cs="Times New Roman"/>
          <w:b w:val="0"/>
          <w:bCs w:val="0"/>
          <w:sz w:val="20"/>
          <w:szCs w:val="20"/>
        </w:rPr>
      </w:pPr>
    </w:p>
    <w:p w:rsidR="00B14658" w:rsidRPr="00477F96" w:rsidRDefault="00B14658" w:rsidP="00477F96">
      <w:pPr>
        <w:pStyle w:val="Title"/>
        <w:bidi w:val="0"/>
        <w:ind w:right="-284"/>
        <w:jc w:val="left"/>
        <w:rPr>
          <w:rFonts w:cs="Times New Roman"/>
          <w:b w:val="0"/>
          <w:bCs w:val="0"/>
          <w:sz w:val="20"/>
          <w:szCs w:val="20"/>
        </w:rPr>
      </w:pPr>
      <w:r w:rsidRPr="00477F96">
        <w:rPr>
          <w:rFonts w:cs="Times New Roman"/>
          <w:sz w:val="20"/>
          <w:szCs w:val="20"/>
        </w:rPr>
        <w:sym w:font="Symbol" w:char="F0E3"/>
      </w:r>
      <w:r w:rsidRPr="00477F96">
        <w:rPr>
          <w:rFonts w:cs="Times New Roman"/>
          <w:b w:val="0"/>
          <w:bCs w:val="0"/>
          <w:sz w:val="20"/>
          <w:szCs w:val="20"/>
        </w:rPr>
        <w:t xml:space="preserve"> May, </w:t>
      </w:r>
      <w:r w:rsidRPr="00477F96">
        <w:rPr>
          <w:rFonts w:cs="Times New Roman"/>
          <w:b w:val="0"/>
          <w:bCs w:val="0"/>
          <w:sz w:val="20"/>
          <w:szCs w:val="20"/>
          <w:rtl/>
        </w:rPr>
        <w:t>2019</w:t>
      </w:r>
      <w:r w:rsidRPr="00477F96">
        <w:rPr>
          <w:rFonts w:cs="Times New Roman"/>
          <w:b w:val="0"/>
          <w:bCs w:val="0"/>
          <w:sz w:val="20"/>
          <w:szCs w:val="20"/>
        </w:rPr>
        <w:t>.</w:t>
      </w:r>
    </w:p>
    <w:p w:rsidR="00B14658" w:rsidRPr="00477F96" w:rsidRDefault="00B14658" w:rsidP="00477F96">
      <w:pPr>
        <w:pStyle w:val="Title"/>
        <w:bidi w:val="0"/>
        <w:ind w:right="-284"/>
        <w:jc w:val="left"/>
        <w:rPr>
          <w:rFonts w:cs="Times New Roman"/>
          <w:sz w:val="20"/>
          <w:szCs w:val="20"/>
        </w:rPr>
      </w:pPr>
      <w:r w:rsidRPr="00477F96">
        <w:rPr>
          <w:rFonts w:cs="Times New Roman"/>
          <w:sz w:val="20"/>
          <w:szCs w:val="20"/>
        </w:rPr>
        <w:t>All Rights Reserved</w:t>
      </w:r>
    </w:p>
    <w:p w:rsidR="00B14658" w:rsidRPr="00477F96" w:rsidRDefault="00B14658" w:rsidP="00477F96">
      <w:pPr>
        <w:pStyle w:val="Title"/>
        <w:tabs>
          <w:tab w:val="left" w:pos="1236"/>
        </w:tabs>
        <w:bidi w:val="0"/>
        <w:ind w:right="-284"/>
        <w:jc w:val="left"/>
        <w:rPr>
          <w:rFonts w:cs="Times New Roman"/>
        </w:rPr>
      </w:pPr>
      <w:r w:rsidRPr="00477F96">
        <w:rPr>
          <w:rFonts w:cs="Times New Roman"/>
        </w:rPr>
        <w:tab/>
      </w:r>
    </w:p>
    <w:p w:rsidR="00B14658" w:rsidRPr="00477F96" w:rsidRDefault="00B14658" w:rsidP="00477F96">
      <w:pPr>
        <w:pStyle w:val="Title"/>
        <w:bidi w:val="0"/>
        <w:ind w:right="-284"/>
        <w:jc w:val="left"/>
        <w:rPr>
          <w:rFonts w:cs="Times New Roman"/>
          <w:sz w:val="20"/>
          <w:szCs w:val="20"/>
        </w:rPr>
      </w:pPr>
      <w:r w:rsidRPr="00477F96">
        <w:rPr>
          <w:rFonts w:cs="Times New Roman"/>
          <w:sz w:val="20"/>
          <w:szCs w:val="20"/>
        </w:rPr>
        <w:t>Citation:</w:t>
      </w:r>
    </w:p>
    <w:p w:rsidR="00B14658" w:rsidRPr="00477F96" w:rsidRDefault="00B14658" w:rsidP="00477F96">
      <w:pPr>
        <w:pStyle w:val="Title"/>
        <w:bidi w:val="0"/>
        <w:ind w:right="-284" w:firstLine="720"/>
        <w:jc w:val="left"/>
        <w:rPr>
          <w:rFonts w:cs="Times New Roman"/>
          <w:sz w:val="20"/>
          <w:szCs w:val="20"/>
        </w:rPr>
      </w:pPr>
    </w:p>
    <w:p w:rsidR="00B14658" w:rsidRPr="00477F96" w:rsidRDefault="00B14658" w:rsidP="00477F96">
      <w:pPr>
        <w:pStyle w:val="Title"/>
        <w:bidi w:val="0"/>
        <w:ind w:right="-284"/>
        <w:jc w:val="left"/>
        <w:rPr>
          <w:rFonts w:cs="Times New Roman"/>
          <w:b w:val="0"/>
          <w:bCs w:val="0"/>
        </w:rPr>
      </w:pPr>
      <w:proofErr w:type="gramStart"/>
      <w:r w:rsidRPr="00477F96">
        <w:rPr>
          <w:rFonts w:cs="Times New Roman"/>
        </w:rPr>
        <w:t>Palestinian Central Bureau of Statistics, 2019.</w:t>
      </w:r>
      <w:proofErr w:type="gramEnd"/>
      <w:r w:rsidRPr="00477F96">
        <w:rPr>
          <w:rFonts w:cs="Times New Roman"/>
        </w:rPr>
        <w:t xml:space="preserve">   </w:t>
      </w:r>
      <w:proofErr w:type="gramStart"/>
      <w:r w:rsidRPr="00477F96">
        <w:rPr>
          <w:rFonts w:cs="Times New Roman"/>
          <w:b w:val="0"/>
          <w:bCs w:val="0"/>
          <w:i/>
          <w:iCs/>
        </w:rPr>
        <w:t>Performance of the Palestinian Economy, 2018.</w:t>
      </w:r>
      <w:proofErr w:type="gramEnd"/>
      <w:r w:rsidRPr="00477F96">
        <w:rPr>
          <w:rFonts w:cs="Times New Roman"/>
          <w:b w:val="0"/>
          <w:bCs w:val="0"/>
          <w:i/>
          <w:iCs/>
        </w:rPr>
        <w:t xml:space="preserve">  </w:t>
      </w:r>
      <w:r w:rsidRPr="00477F96">
        <w:rPr>
          <w:rFonts w:cs="Times New Roman"/>
          <w:b w:val="0"/>
          <w:bCs w:val="0"/>
        </w:rPr>
        <w:t xml:space="preserve"> Ramallah – Palestine.</w:t>
      </w:r>
    </w:p>
    <w:p w:rsidR="00B14658" w:rsidRPr="00477F96" w:rsidRDefault="00B14658" w:rsidP="00477F96">
      <w:pPr>
        <w:pStyle w:val="Title"/>
        <w:bidi w:val="0"/>
        <w:ind w:right="-284"/>
        <w:jc w:val="left"/>
        <w:rPr>
          <w:rFonts w:cs="Times New Roman"/>
          <w:b w:val="0"/>
          <w:bCs w:val="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B14658" w:rsidRPr="00477F96" w:rsidTr="00F22EB1">
        <w:trPr>
          <w:trHeight w:val="1404"/>
          <w:jc w:val="center"/>
        </w:trPr>
        <w:tc>
          <w:tcPr>
            <w:tcW w:w="4542" w:type="dxa"/>
            <w:vMerge w:val="restart"/>
          </w:tcPr>
          <w:p w:rsidR="00B14658" w:rsidRPr="00477F96" w:rsidRDefault="00B14658" w:rsidP="00477F96">
            <w:pPr>
              <w:pStyle w:val="Title"/>
              <w:bidi w:val="0"/>
              <w:ind w:right="-284"/>
              <w:jc w:val="left"/>
              <w:rPr>
                <w:rFonts w:cs="Times New Roman"/>
                <w:b w:val="0"/>
                <w:bCs w:val="0"/>
                <w:sz w:val="20"/>
                <w:szCs w:val="20"/>
              </w:rPr>
            </w:pPr>
            <w:r w:rsidRPr="00477F96">
              <w:rPr>
                <w:rFonts w:cs="Times New Roman"/>
                <w:b w:val="0"/>
                <w:bCs w:val="0"/>
                <w:sz w:val="20"/>
                <w:szCs w:val="20"/>
              </w:rPr>
              <w:t xml:space="preserve">All correspondence should be directed to: </w:t>
            </w:r>
          </w:p>
          <w:p w:rsidR="00B14658" w:rsidRPr="00477F96" w:rsidRDefault="00B14658" w:rsidP="00477F96">
            <w:pPr>
              <w:pStyle w:val="Title"/>
              <w:bidi w:val="0"/>
              <w:ind w:right="-284"/>
              <w:jc w:val="left"/>
              <w:rPr>
                <w:rFonts w:cs="Times New Roman"/>
                <w:sz w:val="20"/>
                <w:szCs w:val="20"/>
              </w:rPr>
            </w:pPr>
            <w:r w:rsidRPr="00477F96">
              <w:rPr>
                <w:rFonts w:cs="Times New Roman"/>
                <w:sz w:val="20"/>
                <w:szCs w:val="20"/>
              </w:rPr>
              <w:t>Palestinian Central Bureau of Statistics</w:t>
            </w:r>
          </w:p>
          <w:p w:rsidR="00B14658" w:rsidRPr="00477F96" w:rsidRDefault="00B14658" w:rsidP="00477F96">
            <w:pPr>
              <w:pStyle w:val="Title"/>
              <w:bidi w:val="0"/>
              <w:ind w:right="-284"/>
              <w:jc w:val="left"/>
              <w:rPr>
                <w:rFonts w:cs="Times New Roman"/>
                <w:sz w:val="20"/>
                <w:szCs w:val="20"/>
              </w:rPr>
            </w:pPr>
            <w:proofErr w:type="gramStart"/>
            <w:r w:rsidRPr="00477F96">
              <w:rPr>
                <w:rFonts w:cs="Times New Roman"/>
                <w:sz w:val="20"/>
                <w:szCs w:val="20"/>
              </w:rPr>
              <w:t>P.O. Box 1647, Ramallah, Palestine.</w:t>
            </w:r>
            <w:proofErr w:type="gramEnd"/>
          </w:p>
          <w:p w:rsidR="00B14658" w:rsidRPr="00477F96" w:rsidRDefault="00B14658" w:rsidP="00477F96">
            <w:pPr>
              <w:rPr>
                <w:rFonts w:ascii="Times New Roman" w:hAnsi="Times New Roman" w:cs="Times New Roman"/>
                <w:sz w:val="20"/>
                <w:szCs w:val="20"/>
              </w:rPr>
            </w:pPr>
          </w:p>
          <w:p w:rsidR="00B14658" w:rsidRPr="00477F96" w:rsidRDefault="00B14658" w:rsidP="00477F96">
            <w:pPr>
              <w:rPr>
                <w:rFonts w:ascii="Times New Roman" w:hAnsi="Times New Roman" w:cs="Times New Roman"/>
                <w:sz w:val="20"/>
                <w:szCs w:val="20"/>
              </w:rPr>
            </w:pPr>
            <w:r w:rsidRPr="00477F96">
              <w:rPr>
                <w:rFonts w:ascii="Times New Roman" w:hAnsi="Times New Roman" w:cs="Times New Roman"/>
                <w:sz w:val="20"/>
                <w:szCs w:val="20"/>
              </w:rPr>
              <w:t>Tel: (970/972) 2 298 2700</w:t>
            </w:r>
          </w:p>
          <w:p w:rsidR="00B14658" w:rsidRPr="00477F96" w:rsidRDefault="00B14658" w:rsidP="00477F96">
            <w:pPr>
              <w:rPr>
                <w:rFonts w:ascii="Times New Roman" w:hAnsi="Times New Roman" w:cs="Times New Roman"/>
                <w:sz w:val="20"/>
                <w:szCs w:val="20"/>
              </w:rPr>
            </w:pPr>
            <w:r w:rsidRPr="00477F96">
              <w:rPr>
                <w:rFonts w:ascii="Times New Roman" w:hAnsi="Times New Roman" w:cs="Times New Roman"/>
                <w:sz w:val="20"/>
                <w:szCs w:val="20"/>
              </w:rPr>
              <w:t>Fax: (970/972) 2 298 2710</w:t>
            </w:r>
          </w:p>
          <w:p w:rsidR="00B14658" w:rsidRPr="00477F96" w:rsidRDefault="00B14658" w:rsidP="00477F96">
            <w:pPr>
              <w:rPr>
                <w:rFonts w:ascii="Times New Roman" w:hAnsi="Times New Roman" w:cs="Times New Roman"/>
                <w:sz w:val="20"/>
                <w:szCs w:val="20"/>
              </w:rPr>
            </w:pPr>
            <w:r w:rsidRPr="00477F96">
              <w:rPr>
                <w:rFonts w:ascii="Times New Roman" w:hAnsi="Times New Roman" w:cs="Times New Roman"/>
                <w:sz w:val="20"/>
                <w:szCs w:val="20"/>
              </w:rPr>
              <w:t>Toll Free: 1800300300</w:t>
            </w:r>
          </w:p>
          <w:p w:rsidR="00B14658" w:rsidRPr="00477F96" w:rsidRDefault="00B14658" w:rsidP="00477F96">
            <w:pPr>
              <w:rPr>
                <w:rFonts w:ascii="Times New Roman" w:hAnsi="Times New Roman" w:cs="Times New Roman"/>
                <w:sz w:val="20"/>
                <w:szCs w:val="20"/>
              </w:rPr>
            </w:pPr>
            <w:r w:rsidRPr="00477F96">
              <w:rPr>
                <w:rFonts w:ascii="Times New Roman" w:hAnsi="Times New Roman" w:cs="Times New Roman"/>
                <w:sz w:val="20"/>
                <w:szCs w:val="20"/>
                <w:lang w:eastAsia="fr-FR"/>
              </w:rPr>
              <w:t>E-Mail</w:t>
            </w:r>
            <w:r w:rsidRPr="00477F96">
              <w:rPr>
                <w:rFonts w:ascii="Times New Roman" w:hAnsi="Times New Roman" w:cs="Times New Roman"/>
                <w:sz w:val="20"/>
                <w:szCs w:val="20"/>
              </w:rPr>
              <w:t>:</w:t>
            </w:r>
            <w:r w:rsidRPr="00477F96">
              <w:rPr>
                <w:rFonts w:ascii="Times New Roman" w:hAnsi="Times New Roman" w:cs="Times New Roman"/>
                <w:sz w:val="20"/>
                <w:szCs w:val="20"/>
                <w:rtl/>
                <w:lang w:val="en-AU"/>
              </w:rPr>
              <w:t xml:space="preserve"> </w:t>
            </w:r>
            <w:r w:rsidRPr="00477F96">
              <w:rPr>
                <w:rFonts w:ascii="Times New Roman" w:hAnsi="Times New Roman" w:cs="Times New Roman"/>
                <w:sz w:val="20"/>
                <w:szCs w:val="20"/>
                <w:lang w:eastAsia="fr-FR"/>
              </w:rPr>
              <w:t>diwan@pcbs.gov.ps</w:t>
            </w:r>
          </w:p>
          <w:p w:rsidR="00B14658" w:rsidRPr="00477F96" w:rsidRDefault="00B14658" w:rsidP="00477F96">
            <w:pPr>
              <w:rPr>
                <w:rFonts w:ascii="Times New Roman" w:hAnsi="Times New Roman" w:cs="Times New Roman"/>
              </w:rPr>
            </w:pPr>
            <w:r w:rsidRPr="00477F96">
              <w:rPr>
                <w:rFonts w:ascii="Times New Roman" w:hAnsi="Times New Roman" w:cs="Times New Roman"/>
                <w:sz w:val="20"/>
                <w:szCs w:val="20"/>
              </w:rPr>
              <w:t xml:space="preserve">Website:  </w:t>
            </w:r>
            <w:hyperlink r:id="rId11" w:history="1">
              <w:r w:rsidRPr="00477F96">
                <w:rPr>
                  <w:rStyle w:val="Hyperlink"/>
                  <w:rFonts w:ascii="Times New Roman" w:hAnsi="Times New Roman" w:cs="Times New Roman"/>
                  <w:sz w:val="20"/>
                  <w:szCs w:val="20"/>
                </w:rPr>
                <w:t>http://www.pcbs.gov.ps</w:t>
              </w:r>
            </w:hyperlink>
            <w:r w:rsidRPr="00477F96">
              <w:rPr>
                <w:rFonts w:ascii="Times New Roman" w:hAnsi="Times New Roman" w:cs="Times New Roman"/>
                <w:rtl/>
              </w:rPr>
              <w:t xml:space="preserve">  </w:t>
            </w:r>
            <w:r w:rsidRPr="00477F96">
              <w:rPr>
                <w:rFonts w:ascii="Times New Roman" w:hAnsi="Times New Roman" w:cs="Times New Roman"/>
              </w:rPr>
              <w:t xml:space="preserve">      </w:t>
            </w:r>
          </w:p>
          <w:p w:rsidR="00B14658" w:rsidRPr="00477F96" w:rsidRDefault="00B14658" w:rsidP="00477F96">
            <w:pPr>
              <w:pStyle w:val="BlockText"/>
              <w:tabs>
                <w:tab w:val="clear" w:pos="8647"/>
              </w:tabs>
              <w:ind w:left="0" w:right="-2"/>
              <w:jc w:val="left"/>
              <w:rPr>
                <w:rFonts w:cs="Times New Roman"/>
                <w:b/>
                <w:bCs/>
                <w:sz w:val="20"/>
              </w:rPr>
            </w:pPr>
          </w:p>
          <w:p w:rsidR="00B14658" w:rsidRPr="00477F96" w:rsidRDefault="00B14658" w:rsidP="00477F96">
            <w:pPr>
              <w:pStyle w:val="BlockText"/>
              <w:tabs>
                <w:tab w:val="clear" w:pos="8647"/>
              </w:tabs>
              <w:ind w:left="0" w:right="-2"/>
              <w:jc w:val="left"/>
              <w:rPr>
                <w:rFonts w:cs="Times New Roman"/>
                <w:b/>
                <w:bCs/>
                <w:sz w:val="20"/>
              </w:rPr>
            </w:pPr>
          </w:p>
          <w:p w:rsidR="00B14658" w:rsidRPr="00477F96" w:rsidRDefault="00B14658" w:rsidP="00477F96">
            <w:pPr>
              <w:pStyle w:val="BlockText"/>
              <w:tabs>
                <w:tab w:val="clear" w:pos="8647"/>
              </w:tabs>
              <w:ind w:left="0" w:right="-2"/>
              <w:jc w:val="left"/>
              <w:rPr>
                <w:rFonts w:cs="Times New Roman"/>
                <w:b/>
                <w:bCs/>
                <w:sz w:val="20"/>
              </w:rPr>
            </w:pPr>
          </w:p>
          <w:p w:rsidR="00B14658" w:rsidRPr="00477F96" w:rsidRDefault="00B14658" w:rsidP="00477F96">
            <w:pPr>
              <w:pStyle w:val="BlockText"/>
              <w:tabs>
                <w:tab w:val="clear" w:pos="8647"/>
              </w:tabs>
              <w:ind w:left="0" w:right="-2"/>
              <w:jc w:val="left"/>
              <w:rPr>
                <w:rFonts w:cs="Times New Roman"/>
                <w:b/>
                <w:bCs/>
                <w:sz w:val="20"/>
                <w:rtl/>
              </w:rPr>
            </w:pPr>
            <w:r w:rsidRPr="00477F96">
              <w:rPr>
                <w:rFonts w:cs="Times New Roman"/>
                <w:b/>
                <w:bCs/>
                <w:sz w:val="20"/>
              </w:rPr>
              <w:t xml:space="preserve">Reference ID: </w:t>
            </w:r>
            <w:r w:rsidR="00883E2C">
              <w:rPr>
                <w:rFonts w:cs="Times New Roman"/>
                <w:b/>
                <w:bCs/>
                <w:sz w:val="20"/>
              </w:rPr>
              <w:t>2435</w:t>
            </w:r>
          </w:p>
          <w:p w:rsidR="00B14658" w:rsidRPr="00477F96" w:rsidRDefault="00B14658" w:rsidP="00477F96">
            <w:pPr>
              <w:rPr>
                <w:rFonts w:ascii="Times New Roman" w:hAnsi="Times New Roman" w:cs="Times New Roman"/>
                <w:rtl/>
              </w:rPr>
            </w:pPr>
          </w:p>
        </w:tc>
        <w:tc>
          <w:tcPr>
            <w:tcW w:w="2403" w:type="dxa"/>
          </w:tcPr>
          <w:p w:rsidR="00B14658" w:rsidRPr="00477F96" w:rsidRDefault="00B14658" w:rsidP="00477F96">
            <w:pPr>
              <w:jc w:val="right"/>
              <w:rPr>
                <w:rFonts w:ascii="Times New Roman" w:hAnsi="Times New Roman" w:cs="Times New Roman"/>
                <w:rtl/>
              </w:rPr>
            </w:pPr>
          </w:p>
        </w:tc>
        <w:tc>
          <w:tcPr>
            <w:tcW w:w="2127" w:type="dxa"/>
          </w:tcPr>
          <w:p w:rsidR="00B14658" w:rsidRPr="00477F96" w:rsidRDefault="00B14658" w:rsidP="00477F96">
            <w:pPr>
              <w:jc w:val="center"/>
              <w:rPr>
                <w:rFonts w:ascii="Times New Roman" w:hAnsi="Times New Roman" w:cs="Times New Roman"/>
                <w:rtl/>
              </w:rPr>
            </w:pPr>
            <w:r w:rsidRPr="00477F96">
              <w:rPr>
                <w:rFonts w:ascii="Times New Roman" w:hAnsi="Times New Roman" w:cs="Times New Roman"/>
                <w:noProof/>
                <w:rtl/>
              </w:rPr>
              <w:drawing>
                <wp:inline distT="0" distB="0" distL="0" distR="0">
                  <wp:extent cx="900000" cy="901521"/>
                  <wp:effectExtent l="0" t="0" r="0" b="0"/>
                  <wp:docPr id="2"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B14658" w:rsidRPr="00477F96" w:rsidTr="00F22EB1">
        <w:trPr>
          <w:trHeight w:val="2829"/>
          <w:jc w:val="center"/>
        </w:trPr>
        <w:tc>
          <w:tcPr>
            <w:tcW w:w="4542" w:type="dxa"/>
            <w:vMerge/>
          </w:tcPr>
          <w:p w:rsidR="00B14658" w:rsidRPr="00477F96" w:rsidRDefault="00B14658" w:rsidP="00477F96">
            <w:pPr>
              <w:jc w:val="lowKashida"/>
              <w:rPr>
                <w:rFonts w:ascii="Times New Roman" w:hAnsi="Times New Roman" w:cs="Times New Roman"/>
                <w:rtl/>
              </w:rPr>
            </w:pPr>
          </w:p>
        </w:tc>
        <w:tc>
          <w:tcPr>
            <w:tcW w:w="2403" w:type="dxa"/>
          </w:tcPr>
          <w:p w:rsidR="00B14658" w:rsidRPr="00477F96" w:rsidRDefault="00B14658" w:rsidP="00477F96">
            <w:pPr>
              <w:jc w:val="right"/>
              <w:rPr>
                <w:rFonts w:ascii="Times New Roman" w:hAnsi="Times New Roman" w:cs="Times New Roman"/>
                <w:noProof/>
                <w:rtl/>
              </w:rPr>
            </w:pPr>
          </w:p>
        </w:tc>
        <w:tc>
          <w:tcPr>
            <w:tcW w:w="2127" w:type="dxa"/>
          </w:tcPr>
          <w:p w:rsidR="00B14658" w:rsidRPr="00477F96" w:rsidRDefault="00B14658" w:rsidP="00477F96">
            <w:pPr>
              <w:jc w:val="center"/>
              <w:rPr>
                <w:rFonts w:ascii="Times New Roman" w:hAnsi="Times New Roman" w:cs="Times New Roman"/>
                <w:noProof/>
                <w:rtl/>
              </w:rPr>
            </w:pPr>
            <w:r w:rsidRPr="00477F96">
              <w:rPr>
                <w:rFonts w:ascii="Times New Roman" w:hAnsi="Times New Roman" w:cs="Times New Roman"/>
                <w:noProof/>
                <w:rtl/>
              </w:rPr>
              <w:drawing>
                <wp:inline distT="0" distB="0" distL="0" distR="0">
                  <wp:extent cx="818077" cy="1434980"/>
                  <wp:effectExtent l="19050" t="0" r="1073" b="0"/>
                  <wp:docPr id="3"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B14658" w:rsidRPr="00477F96" w:rsidRDefault="00B14658" w:rsidP="00477F96">
      <w:pPr>
        <w:pStyle w:val="Title"/>
        <w:tabs>
          <w:tab w:val="left" w:pos="1030"/>
        </w:tabs>
        <w:bidi w:val="0"/>
        <w:ind w:right="-284"/>
        <w:rPr>
          <w:rFonts w:cs="Times New Roman"/>
          <w:sz w:val="28"/>
          <w:szCs w:val="28"/>
        </w:rPr>
      </w:pPr>
      <w:r w:rsidRPr="00477F96">
        <w:rPr>
          <w:rFonts w:cs="Times New Roman"/>
          <w:sz w:val="28"/>
          <w:szCs w:val="28"/>
        </w:rPr>
        <w:lastRenderedPageBreak/>
        <w:t>Work Team</w:t>
      </w:r>
    </w:p>
    <w:p w:rsidR="00B14658" w:rsidRPr="00477F96" w:rsidRDefault="00B14658" w:rsidP="00477F96">
      <w:pPr>
        <w:pStyle w:val="Title"/>
        <w:tabs>
          <w:tab w:val="left" w:pos="1030"/>
        </w:tabs>
        <w:bidi w:val="0"/>
        <w:ind w:right="-284"/>
        <w:rPr>
          <w:rFonts w:cs="Times New Roman"/>
          <w:sz w:val="28"/>
          <w:szCs w:val="28"/>
          <w:rtl/>
        </w:rPr>
      </w:pPr>
    </w:p>
    <w:p w:rsidR="00B14658" w:rsidRPr="00477F96" w:rsidRDefault="00B14658" w:rsidP="00477F96">
      <w:pPr>
        <w:numPr>
          <w:ilvl w:val="0"/>
          <w:numId w:val="1"/>
        </w:numPr>
        <w:tabs>
          <w:tab w:val="clear" w:pos="720"/>
        </w:tabs>
        <w:spacing w:after="0" w:line="240" w:lineRule="auto"/>
        <w:ind w:left="284" w:right="0" w:hanging="284"/>
        <w:rPr>
          <w:rFonts w:ascii="Times New Roman" w:hAnsi="Times New Roman" w:cs="Times New Roman"/>
          <w:b/>
          <w:bCs/>
          <w:sz w:val="24"/>
          <w:szCs w:val="24"/>
        </w:rPr>
      </w:pPr>
      <w:r w:rsidRPr="00477F96">
        <w:rPr>
          <w:rFonts w:ascii="Times New Roman" w:hAnsi="Times New Roman" w:cs="Times New Roman"/>
          <w:b/>
          <w:bCs/>
          <w:sz w:val="24"/>
          <w:szCs w:val="24"/>
        </w:rPr>
        <w:t>Report Preparation</w:t>
      </w:r>
    </w:p>
    <w:p w:rsidR="00B14658" w:rsidRPr="00477F96" w:rsidRDefault="00B14658" w:rsidP="00477F96">
      <w:pPr>
        <w:tabs>
          <w:tab w:val="left" w:pos="3852"/>
          <w:tab w:val="center" w:pos="4487"/>
        </w:tabs>
        <w:spacing w:after="0" w:line="240" w:lineRule="auto"/>
        <w:ind w:left="284"/>
        <w:rPr>
          <w:rFonts w:ascii="Times New Roman" w:hAnsi="Times New Roman" w:cs="Times New Roman"/>
          <w:sz w:val="24"/>
          <w:szCs w:val="24"/>
        </w:rPr>
      </w:pPr>
      <w:r w:rsidRPr="00477F96">
        <w:rPr>
          <w:rFonts w:ascii="Times New Roman" w:hAnsi="Times New Roman" w:cs="Times New Roman"/>
          <w:sz w:val="24"/>
          <w:szCs w:val="24"/>
        </w:rPr>
        <w:t>Mohannad Hamayel</w:t>
      </w:r>
    </w:p>
    <w:p w:rsidR="00B14658" w:rsidRPr="00477F96" w:rsidRDefault="00B14658" w:rsidP="00477F96">
      <w:pPr>
        <w:tabs>
          <w:tab w:val="left" w:pos="3852"/>
          <w:tab w:val="center" w:pos="4487"/>
        </w:tabs>
        <w:spacing w:after="0" w:line="240" w:lineRule="auto"/>
        <w:ind w:left="284"/>
        <w:rPr>
          <w:rFonts w:ascii="Times New Roman" w:hAnsi="Times New Roman" w:cs="Times New Roman"/>
          <w:sz w:val="24"/>
          <w:szCs w:val="24"/>
        </w:rPr>
      </w:pPr>
      <w:r w:rsidRPr="00477F96">
        <w:rPr>
          <w:rFonts w:ascii="Times New Roman" w:hAnsi="Times New Roman" w:cs="Times New Roman"/>
          <w:sz w:val="24"/>
          <w:szCs w:val="24"/>
        </w:rPr>
        <w:t>Ahmad Omar</w:t>
      </w:r>
    </w:p>
    <w:p w:rsidR="00B14658" w:rsidRPr="00477F96" w:rsidRDefault="00B14658" w:rsidP="00477F96">
      <w:pPr>
        <w:spacing w:after="0" w:line="240" w:lineRule="auto"/>
        <w:ind w:left="284"/>
        <w:jc w:val="center"/>
        <w:rPr>
          <w:rFonts w:ascii="Times New Roman" w:hAnsi="Times New Roman" w:cs="Times New Roman"/>
          <w:sz w:val="24"/>
          <w:szCs w:val="24"/>
        </w:rPr>
      </w:pPr>
    </w:p>
    <w:p w:rsidR="00B14658" w:rsidRPr="00477F96" w:rsidRDefault="00B14658" w:rsidP="00477F96">
      <w:pPr>
        <w:numPr>
          <w:ilvl w:val="0"/>
          <w:numId w:val="1"/>
        </w:numPr>
        <w:tabs>
          <w:tab w:val="clear" w:pos="720"/>
        </w:tabs>
        <w:spacing w:after="0" w:line="240" w:lineRule="auto"/>
        <w:ind w:left="284" w:right="0" w:hanging="284"/>
        <w:rPr>
          <w:rFonts w:ascii="Times New Roman" w:hAnsi="Times New Roman" w:cs="Times New Roman"/>
          <w:b/>
          <w:bCs/>
          <w:sz w:val="24"/>
          <w:szCs w:val="24"/>
        </w:rPr>
      </w:pPr>
      <w:r w:rsidRPr="00477F96">
        <w:rPr>
          <w:rFonts w:ascii="Times New Roman" w:hAnsi="Times New Roman" w:cs="Times New Roman"/>
          <w:b/>
          <w:bCs/>
          <w:sz w:val="24"/>
          <w:szCs w:val="24"/>
        </w:rPr>
        <w:t xml:space="preserve">Dissemination Standards  </w:t>
      </w:r>
    </w:p>
    <w:p w:rsidR="00B14658" w:rsidRPr="00477F96" w:rsidRDefault="00B14658" w:rsidP="00477F96">
      <w:pPr>
        <w:spacing w:after="0" w:line="240" w:lineRule="auto"/>
        <w:ind w:left="284"/>
        <w:rPr>
          <w:rFonts w:ascii="Times New Roman" w:hAnsi="Times New Roman" w:cs="Times New Roman"/>
          <w:sz w:val="24"/>
          <w:szCs w:val="24"/>
        </w:rPr>
      </w:pPr>
      <w:proofErr w:type="spellStart"/>
      <w:r w:rsidRPr="00477F96">
        <w:rPr>
          <w:rFonts w:ascii="Times New Roman" w:hAnsi="Times New Roman" w:cs="Times New Roman"/>
          <w:sz w:val="24"/>
          <w:szCs w:val="24"/>
        </w:rPr>
        <w:t>Hanan</w:t>
      </w:r>
      <w:proofErr w:type="spellEnd"/>
      <w:r w:rsidRPr="00477F96">
        <w:rPr>
          <w:rFonts w:ascii="Times New Roman" w:hAnsi="Times New Roman" w:cs="Times New Roman"/>
          <w:sz w:val="24"/>
          <w:szCs w:val="24"/>
        </w:rPr>
        <w:t xml:space="preserve"> </w:t>
      </w:r>
      <w:proofErr w:type="spellStart"/>
      <w:r w:rsidRPr="00477F96">
        <w:rPr>
          <w:rFonts w:ascii="Times New Roman" w:hAnsi="Times New Roman" w:cs="Times New Roman"/>
          <w:sz w:val="24"/>
          <w:szCs w:val="24"/>
        </w:rPr>
        <w:t>Janajreh</w:t>
      </w:r>
      <w:proofErr w:type="spellEnd"/>
    </w:p>
    <w:p w:rsidR="00B14658" w:rsidRPr="00477F96" w:rsidRDefault="00B14658" w:rsidP="00477F96">
      <w:pPr>
        <w:spacing w:after="0" w:line="240" w:lineRule="auto"/>
        <w:ind w:left="284"/>
        <w:rPr>
          <w:rFonts w:ascii="Times New Roman" w:hAnsi="Times New Roman" w:cs="Times New Roman"/>
          <w:sz w:val="24"/>
          <w:szCs w:val="24"/>
        </w:rPr>
      </w:pPr>
    </w:p>
    <w:p w:rsidR="00B14658" w:rsidRPr="00477F96" w:rsidRDefault="00B14658" w:rsidP="00477F96">
      <w:pPr>
        <w:numPr>
          <w:ilvl w:val="0"/>
          <w:numId w:val="1"/>
        </w:numPr>
        <w:tabs>
          <w:tab w:val="clear" w:pos="720"/>
        </w:tabs>
        <w:spacing w:after="0" w:line="240" w:lineRule="auto"/>
        <w:ind w:left="284" w:right="0" w:hanging="284"/>
        <w:rPr>
          <w:rFonts w:ascii="Times New Roman" w:hAnsi="Times New Roman" w:cs="Times New Roman"/>
          <w:b/>
          <w:bCs/>
          <w:sz w:val="24"/>
          <w:szCs w:val="24"/>
        </w:rPr>
      </w:pPr>
      <w:r w:rsidRPr="00477F96">
        <w:rPr>
          <w:rFonts w:ascii="Times New Roman" w:hAnsi="Times New Roman" w:cs="Times New Roman"/>
          <w:b/>
          <w:bCs/>
          <w:sz w:val="24"/>
          <w:szCs w:val="24"/>
        </w:rPr>
        <w:t>Preliminary Review</w:t>
      </w:r>
    </w:p>
    <w:p w:rsidR="00B14658" w:rsidRPr="00477F96" w:rsidRDefault="00B14658" w:rsidP="00477F96">
      <w:pPr>
        <w:spacing w:after="0" w:line="240" w:lineRule="auto"/>
        <w:ind w:left="284"/>
        <w:rPr>
          <w:rFonts w:ascii="Times New Roman" w:hAnsi="Times New Roman" w:cs="Times New Roman"/>
          <w:sz w:val="24"/>
          <w:szCs w:val="24"/>
        </w:rPr>
      </w:pPr>
      <w:r w:rsidRPr="00477F96">
        <w:rPr>
          <w:rFonts w:ascii="Times New Roman" w:hAnsi="Times New Roman" w:cs="Times New Roman"/>
          <w:sz w:val="24"/>
          <w:szCs w:val="24"/>
        </w:rPr>
        <w:t>Ahmad Omar</w:t>
      </w:r>
    </w:p>
    <w:p w:rsidR="00B14658" w:rsidRPr="00477F96" w:rsidRDefault="00B14658" w:rsidP="00477F96">
      <w:pPr>
        <w:spacing w:after="0" w:line="240" w:lineRule="auto"/>
        <w:ind w:left="284"/>
        <w:rPr>
          <w:rFonts w:ascii="Times New Roman" w:hAnsi="Times New Roman" w:cs="Times New Roman"/>
          <w:sz w:val="24"/>
          <w:szCs w:val="24"/>
          <w:rtl/>
        </w:rPr>
      </w:pPr>
      <w:r w:rsidRPr="00477F96">
        <w:rPr>
          <w:rFonts w:ascii="Times New Roman" w:hAnsi="Times New Roman" w:cs="Times New Roman"/>
          <w:sz w:val="24"/>
          <w:szCs w:val="24"/>
        </w:rPr>
        <w:t xml:space="preserve">Mohammad </w:t>
      </w:r>
      <w:proofErr w:type="spellStart"/>
      <w:r w:rsidRPr="00477F96">
        <w:rPr>
          <w:rFonts w:ascii="Times New Roman" w:hAnsi="Times New Roman" w:cs="Times New Roman"/>
          <w:sz w:val="24"/>
          <w:szCs w:val="24"/>
        </w:rPr>
        <w:t>Qalalwa</w:t>
      </w:r>
      <w:proofErr w:type="spellEnd"/>
    </w:p>
    <w:p w:rsidR="00B14658" w:rsidRPr="00477F96" w:rsidRDefault="00B14658" w:rsidP="00477F96">
      <w:pPr>
        <w:spacing w:after="0" w:line="240" w:lineRule="auto"/>
        <w:ind w:left="284"/>
        <w:rPr>
          <w:rFonts w:ascii="Times New Roman" w:hAnsi="Times New Roman" w:cs="Times New Roman"/>
          <w:sz w:val="24"/>
          <w:szCs w:val="24"/>
        </w:rPr>
      </w:pPr>
    </w:p>
    <w:p w:rsidR="00B14658" w:rsidRPr="00477F96" w:rsidRDefault="00B14658" w:rsidP="00477F96">
      <w:pPr>
        <w:numPr>
          <w:ilvl w:val="0"/>
          <w:numId w:val="1"/>
        </w:numPr>
        <w:tabs>
          <w:tab w:val="clear" w:pos="720"/>
        </w:tabs>
        <w:spacing w:after="0" w:line="240" w:lineRule="auto"/>
        <w:ind w:left="284" w:right="0" w:hanging="284"/>
        <w:rPr>
          <w:rFonts w:ascii="Times New Roman" w:hAnsi="Times New Roman" w:cs="Times New Roman"/>
          <w:b/>
          <w:bCs/>
          <w:sz w:val="24"/>
          <w:szCs w:val="24"/>
        </w:rPr>
      </w:pPr>
      <w:r w:rsidRPr="00477F96">
        <w:rPr>
          <w:rFonts w:ascii="Times New Roman" w:hAnsi="Times New Roman" w:cs="Times New Roman"/>
          <w:b/>
          <w:bCs/>
          <w:sz w:val="24"/>
          <w:szCs w:val="24"/>
        </w:rPr>
        <w:t>Final Review</w:t>
      </w:r>
    </w:p>
    <w:p w:rsidR="00B14658" w:rsidRPr="00477F96" w:rsidRDefault="00B14658" w:rsidP="00477F96">
      <w:pPr>
        <w:spacing w:after="0" w:line="240" w:lineRule="auto"/>
        <w:ind w:left="284"/>
        <w:rPr>
          <w:rFonts w:ascii="Times New Roman" w:hAnsi="Times New Roman" w:cs="Times New Roman"/>
          <w:sz w:val="24"/>
          <w:szCs w:val="24"/>
        </w:rPr>
      </w:pPr>
      <w:r w:rsidRPr="00477F96">
        <w:rPr>
          <w:rFonts w:ascii="Times New Roman" w:hAnsi="Times New Roman" w:cs="Times New Roman"/>
          <w:sz w:val="24"/>
          <w:szCs w:val="24"/>
        </w:rPr>
        <w:t xml:space="preserve">Saleh Al </w:t>
      </w:r>
      <w:proofErr w:type="spellStart"/>
      <w:r w:rsidRPr="00477F96">
        <w:rPr>
          <w:rFonts w:ascii="Times New Roman" w:hAnsi="Times New Roman" w:cs="Times New Roman"/>
          <w:sz w:val="24"/>
          <w:szCs w:val="24"/>
        </w:rPr>
        <w:t>Kafri</w:t>
      </w:r>
      <w:proofErr w:type="spellEnd"/>
      <w:r w:rsidRPr="00477F96">
        <w:rPr>
          <w:rFonts w:ascii="Times New Roman" w:hAnsi="Times New Roman" w:cs="Times New Roman"/>
          <w:sz w:val="24"/>
          <w:szCs w:val="24"/>
        </w:rPr>
        <w:t xml:space="preserve">, </w:t>
      </w:r>
      <w:proofErr w:type="spellStart"/>
      <w:r w:rsidRPr="00477F96">
        <w:rPr>
          <w:rFonts w:ascii="Times New Roman" w:hAnsi="Times New Roman" w:cs="Times New Roman"/>
          <w:sz w:val="24"/>
          <w:szCs w:val="24"/>
        </w:rPr>
        <w:t>Ph.D</w:t>
      </w:r>
      <w:proofErr w:type="spellEnd"/>
    </w:p>
    <w:p w:rsidR="00B14658" w:rsidRPr="00477F96" w:rsidRDefault="00B14658" w:rsidP="00477F96">
      <w:pPr>
        <w:spacing w:after="0" w:line="240" w:lineRule="auto"/>
        <w:ind w:left="284"/>
        <w:rPr>
          <w:rFonts w:ascii="Times New Roman" w:hAnsi="Times New Roman" w:cs="Times New Roman"/>
          <w:sz w:val="24"/>
          <w:szCs w:val="24"/>
        </w:rPr>
      </w:pPr>
      <w:r w:rsidRPr="00477F96">
        <w:rPr>
          <w:rFonts w:ascii="Times New Roman" w:hAnsi="Times New Roman" w:cs="Times New Roman"/>
          <w:sz w:val="24"/>
          <w:szCs w:val="24"/>
        </w:rPr>
        <w:t>Rania Abu Ghaboush</w:t>
      </w:r>
    </w:p>
    <w:p w:rsidR="00B14658" w:rsidRPr="00477F96" w:rsidRDefault="00B14658" w:rsidP="00477F96">
      <w:pPr>
        <w:spacing w:after="0" w:line="240" w:lineRule="auto"/>
        <w:ind w:left="284"/>
        <w:rPr>
          <w:rFonts w:ascii="Times New Roman" w:hAnsi="Times New Roman" w:cs="Times New Roman"/>
          <w:sz w:val="24"/>
          <w:szCs w:val="24"/>
        </w:rPr>
      </w:pPr>
      <w:r w:rsidRPr="00477F96">
        <w:rPr>
          <w:rFonts w:ascii="Times New Roman" w:hAnsi="Times New Roman" w:cs="Times New Roman"/>
          <w:sz w:val="24"/>
          <w:szCs w:val="24"/>
        </w:rPr>
        <w:t xml:space="preserve">Maher </w:t>
      </w:r>
      <w:proofErr w:type="spellStart"/>
      <w:r w:rsidRPr="00477F96">
        <w:rPr>
          <w:rFonts w:ascii="Times New Roman" w:hAnsi="Times New Roman" w:cs="Times New Roman"/>
          <w:sz w:val="24"/>
          <w:szCs w:val="24"/>
        </w:rPr>
        <w:t>Sbieh</w:t>
      </w:r>
      <w:proofErr w:type="spellEnd"/>
      <w:r w:rsidRPr="00477F96">
        <w:rPr>
          <w:rFonts w:ascii="Times New Roman" w:hAnsi="Times New Roman" w:cs="Times New Roman"/>
          <w:sz w:val="24"/>
          <w:szCs w:val="24"/>
        </w:rPr>
        <w:t xml:space="preserve">    </w:t>
      </w:r>
    </w:p>
    <w:p w:rsidR="00B14658" w:rsidRPr="00477F96" w:rsidRDefault="00B14658" w:rsidP="00477F96">
      <w:pPr>
        <w:spacing w:after="0" w:line="240" w:lineRule="auto"/>
        <w:ind w:left="284"/>
        <w:rPr>
          <w:rFonts w:ascii="Times New Roman" w:hAnsi="Times New Roman" w:cs="Times New Roman"/>
          <w:sz w:val="24"/>
          <w:szCs w:val="24"/>
        </w:rPr>
      </w:pPr>
      <w:proofErr w:type="spellStart"/>
      <w:r w:rsidRPr="00477F96">
        <w:rPr>
          <w:rFonts w:ascii="Times New Roman" w:hAnsi="Times New Roman" w:cs="Times New Roman"/>
          <w:sz w:val="24"/>
          <w:szCs w:val="24"/>
        </w:rPr>
        <w:t>Inaya</w:t>
      </w:r>
      <w:proofErr w:type="spellEnd"/>
      <w:r w:rsidRPr="00477F96">
        <w:rPr>
          <w:rFonts w:ascii="Times New Roman" w:hAnsi="Times New Roman" w:cs="Times New Roman"/>
          <w:sz w:val="24"/>
          <w:szCs w:val="24"/>
        </w:rPr>
        <w:t xml:space="preserve"> </w:t>
      </w:r>
      <w:proofErr w:type="spellStart"/>
      <w:r w:rsidRPr="00477F96">
        <w:rPr>
          <w:rFonts w:ascii="Times New Roman" w:hAnsi="Times New Roman" w:cs="Times New Roman"/>
          <w:sz w:val="24"/>
          <w:szCs w:val="24"/>
        </w:rPr>
        <w:t>Zaidan</w:t>
      </w:r>
      <w:proofErr w:type="spellEnd"/>
    </w:p>
    <w:p w:rsidR="00B14658" w:rsidRPr="00477F96" w:rsidRDefault="00B14658" w:rsidP="00477F96">
      <w:pPr>
        <w:spacing w:after="0" w:line="240" w:lineRule="auto"/>
        <w:ind w:left="284"/>
        <w:rPr>
          <w:rFonts w:ascii="Times New Roman" w:hAnsi="Times New Roman" w:cs="Times New Roman"/>
          <w:sz w:val="24"/>
          <w:szCs w:val="24"/>
        </w:rPr>
      </w:pPr>
    </w:p>
    <w:p w:rsidR="00B14658" w:rsidRPr="00477F96" w:rsidRDefault="00B14658" w:rsidP="00477F96">
      <w:pPr>
        <w:numPr>
          <w:ilvl w:val="0"/>
          <w:numId w:val="1"/>
        </w:numPr>
        <w:tabs>
          <w:tab w:val="clear" w:pos="720"/>
        </w:tabs>
        <w:spacing w:after="0" w:line="240" w:lineRule="auto"/>
        <w:ind w:left="284" w:right="0" w:hanging="284"/>
        <w:rPr>
          <w:rFonts w:ascii="Times New Roman" w:hAnsi="Times New Roman" w:cs="Times New Roman"/>
          <w:b/>
          <w:bCs/>
          <w:sz w:val="24"/>
          <w:szCs w:val="24"/>
        </w:rPr>
      </w:pPr>
      <w:r w:rsidRPr="00477F96">
        <w:rPr>
          <w:rFonts w:ascii="Times New Roman" w:hAnsi="Times New Roman" w:cs="Times New Roman"/>
          <w:b/>
          <w:bCs/>
          <w:sz w:val="24"/>
          <w:szCs w:val="24"/>
        </w:rPr>
        <w:t>Overall Supervision</w:t>
      </w:r>
    </w:p>
    <w:p w:rsidR="00B14658" w:rsidRPr="00477F96" w:rsidRDefault="00B14658" w:rsidP="00477F96">
      <w:pPr>
        <w:spacing w:after="0" w:line="240" w:lineRule="auto"/>
        <w:ind w:left="284"/>
        <w:rPr>
          <w:rFonts w:ascii="Times New Roman" w:hAnsi="Times New Roman" w:cs="Times New Roman"/>
          <w:sz w:val="24"/>
          <w:szCs w:val="24"/>
        </w:rPr>
      </w:pPr>
      <w:r w:rsidRPr="00477F96">
        <w:rPr>
          <w:rFonts w:ascii="Times New Roman" w:hAnsi="Times New Roman" w:cs="Times New Roman"/>
          <w:sz w:val="24"/>
          <w:szCs w:val="24"/>
        </w:rPr>
        <w:t xml:space="preserve">Ola Awad                         </w:t>
      </w:r>
      <w:r w:rsidRPr="00477F96">
        <w:rPr>
          <w:rFonts w:ascii="Times New Roman" w:hAnsi="Times New Roman" w:cs="Times New Roman"/>
          <w:sz w:val="24"/>
          <w:szCs w:val="24"/>
        </w:rPr>
        <w:tab/>
        <w:t xml:space="preserve">       President of PCBS</w:t>
      </w:r>
    </w:p>
    <w:p w:rsidR="00B14658" w:rsidRPr="00477F96" w:rsidRDefault="00B14658" w:rsidP="00477F96">
      <w:pPr>
        <w:spacing w:after="0" w:line="240" w:lineRule="auto"/>
        <w:rPr>
          <w:rFonts w:ascii="Times New Roman" w:hAnsi="Times New Roman" w:cs="Times New Roman"/>
        </w:rPr>
      </w:pPr>
      <w:r w:rsidRPr="00477F96">
        <w:rPr>
          <w:rFonts w:ascii="Times New Roman" w:hAnsi="Times New Roman" w:cs="Times New Roman"/>
        </w:rPr>
        <w:br w:type="page"/>
      </w:r>
    </w:p>
    <w:p w:rsidR="00477F96" w:rsidRDefault="00477F96" w:rsidP="00477F96">
      <w:pPr>
        <w:spacing w:after="0" w:line="240"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br w:type="page"/>
      </w:r>
    </w:p>
    <w:p w:rsidR="009B6354" w:rsidRPr="00477F96" w:rsidRDefault="009B6354" w:rsidP="00477F96">
      <w:pPr>
        <w:spacing w:after="0" w:line="240" w:lineRule="auto"/>
        <w:jc w:val="center"/>
        <w:rPr>
          <w:rFonts w:ascii="Times New Roman" w:hAnsi="Times New Roman" w:cs="Times New Roman"/>
          <w:b/>
          <w:bCs/>
          <w:sz w:val="28"/>
          <w:szCs w:val="28"/>
        </w:rPr>
      </w:pPr>
      <w:r w:rsidRPr="00477F96">
        <w:rPr>
          <w:rFonts w:ascii="Times New Roman" w:eastAsia="Calibri" w:hAnsi="Times New Roman" w:cs="Times New Roman"/>
          <w:b/>
          <w:bCs/>
          <w:sz w:val="28"/>
          <w:szCs w:val="28"/>
        </w:rPr>
        <w:lastRenderedPageBreak/>
        <w:t>Preface</w:t>
      </w:r>
    </w:p>
    <w:p w:rsidR="009B6354" w:rsidRPr="00477F96" w:rsidRDefault="009B6354" w:rsidP="00477F96">
      <w:pPr>
        <w:spacing w:after="0" w:line="240" w:lineRule="auto"/>
        <w:jc w:val="both"/>
        <w:rPr>
          <w:rFonts w:ascii="Times New Roman" w:hAnsi="Times New Roman" w:cs="Times New Roman"/>
          <w:sz w:val="28"/>
          <w:szCs w:val="28"/>
          <w:lang w:val="en-US"/>
        </w:rPr>
      </w:pPr>
    </w:p>
    <w:p w:rsidR="009B6354" w:rsidRPr="00477F96" w:rsidRDefault="009B6354" w:rsidP="00A245D1">
      <w:pPr>
        <w:spacing w:after="0" w:line="240" w:lineRule="auto"/>
        <w:jc w:val="both"/>
        <w:rPr>
          <w:rFonts w:ascii="Times New Roman" w:hAnsi="Times New Roman" w:cs="Times New Roman"/>
          <w:sz w:val="24"/>
          <w:szCs w:val="24"/>
        </w:rPr>
      </w:pPr>
      <w:r w:rsidRPr="00477F96">
        <w:rPr>
          <w:rFonts w:ascii="Times New Roman" w:hAnsi="Times New Roman" w:cs="Times New Roman"/>
          <w:sz w:val="24"/>
          <w:szCs w:val="24"/>
        </w:rPr>
        <w:t xml:space="preserve">Consistent with the mandate of PCBS to develop and update statistical reports, the Performance of the Palestinian Economy report for 2018 has been prepared to provide a tool for researchers and economic policymakers to draw a picture of economic reality by using a number of macroeconomic indicators such as: GDP, </w:t>
      </w: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market, prices, balance of payments, international investment position, external debt position,</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public finance, public debt and banking sector).</w:t>
      </w:r>
    </w:p>
    <w:p w:rsidR="009B6354" w:rsidRPr="00477F96" w:rsidRDefault="009B6354" w:rsidP="00477F96">
      <w:pPr>
        <w:spacing w:after="0" w:line="240" w:lineRule="auto"/>
        <w:jc w:val="both"/>
        <w:rPr>
          <w:rFonts w:ascii="Times New Roman" w:hAnsi="Times New Roman" w:cs="Times New Roman"/>
          <w:sz w:val="24"/>
          <w:szCs w:val="24"/>
        </w:rPr>
      </w:pPr>
    </w:p>
    <w:p w:rsidR="009E4CF3" w:rsidRPr="00477F96" w:rsidRDefault="009B6354" w:rsidP="00477F96">
      <w:pPr>
        <w:spacing w:after="0" w:line="240" w:lineRule="auto"/>
        <w:rPr>
          <w:rFonts w:ascii="Times New Roman" w:hAnsi="Times New Roman" w:cs="Times New Roman"/>
        </w:rPr>
      </w:pPr>
      <w:r w:rsidRPr="00477F96">
        <w:rPr>
          <w:rFonts w:ascii="Times New Roman" w:hAnsi="Times New Roman" w:cs="Times New Roman"/>
          <w:sz w:val="24"/>
          <w:szCs w:val="24"/>
        </w:rPr>
        <w:t>PCBS hopes that the findings of this report will provide a comprehensive perception of the characteristics and performance of the Palestinian economy, and help analysts and decision makers in the analysis and planning of the Palestinian economy in the future.</w:t>
      </w:r>
    </w:p>
    <w:p w:rsidR="00B14658" w:rsidRPr="00477F96" w:rsidRDefault="00B14658" w:rsidP="00477F96">
      <w:pPr>
        <w:spacing w:after="0" w:line="240" w:lineRule="auto"/>
        <w:rPr>
          <w:rFonts w:ascii="Times New Roman" w:hAnsi="Times New Roman" w:cs="Times New Roman"/>
        </w:rPr>
      </w:pPr>
    </w:p>
    <w:p w:rsidR="00B14658" w:rsidRDefault="00B14658" w:rsidP="00477F96">
      <w:pPr>
        <w:spacing w:after="0" w:line="240" w:lineRule="auto"/>
        <w:rPr>
          <w:rFonts w:ascii="Times New Roman" w:hAnsi="Times New Roman" w:cs="Times New Roman"/>
        </w:rPr>
      </w:pPr>
    </w:p>
    <w:p w:rsidR="00477F96" w:rsidRDefault="00477F96" w:rsidP="00477F96">
      <w:pPr>
        <w:spacing w:after="0" w:line="240" w:lineRule="auto"/>
        <w:rPr>
          <w:rFonts w:ascii="Times New Roman" w:hAnsi="Times New Roman" w:cs="Times New Roman"/>
        </w:rPr>
      </w:pPr>
    </w:p>
    <w:p w:rsidR="00477F96" w:rsidRDefault="00477F96" w:rsidP="00477F96">
      <w:pPr>
        <w:spacing w:after="0" w:line="240" w:lineRule="auto"/>
        <w:rPr>
          <w:rFonts w:ascii="Times New Roman" w:hAnsi="Times New Roman" w:cs="Times New Roman"/>
        </w:rPr>
      </w:pPr>
    </w:p>
    <w:p w:rsidR="00477F96" w:rsidRDefault="00477F96" w:rsidP="00477F96">
      <w:pPr>
        <w:spacing w:after="0" w:line="240" w:lineRule="auto"/>
        <w:rPr>
          <w:rFonts w:ascii="Times New Roman" w:hAnsi="Times New Roman" w:cs="Times New Roman"/>
        </w:rPr>
      </w:pPr>
    </w:p>
    <w:p w:rsidR="00477F96" w:rsidRPr="00477F96" w:rsidRDefault="00477F96" w:rsidP="00477F96">
      <w:pPr>
        <w:spacing w:after="0" w:line="240" w:lineRule="auto"/>
        <w:rPr>
          <w:rFonts w:ascii="Times New Roman" w:hAnsi="Times New Roman" w:cs="Times New Roman"/>
        </w:rPr>
      </w:pPr>
    </w:p>
    <w:tbl>
      <w:tblPr>
        <w:tblW w:w="9072" w:type="dxa"/>
        <w:jc w:val="center"/>
        <w:tblLook w:val="0000"/>
      </w:tblPr>
      <w:tblGrid>
        <w:gridCol w:w="3414"/>
        <w:gridCol w:w="5658"/>
      </w:tblGrid>
      <w:tr w:rsidR="00B14658" w:rsidRPr="00477F96" w:rsidTr="00B14658">
        <w:trPr>
          <w:jc w:val="center"/>
        </w:trPr>
        <w:tc>
          <w:tcPr>
            <w:tcW w:w="3509" w:type="dxa"/>
          </w:tcPr>
          <w:p w:rsidR="00B14658" w:rsidRPr="00477F96" w:rsidRDefault="00B14658" w:rsidP="00477F96">
            <w:pPr>
              <w:spacing w:after="0" w:line="240" w:lineRule="auto"/>
              <w:rPr>
                <w:rFonts w:ascii="Times New Roman" w:hAnsi="Times New Roman" w:cs="Times New Roman"/>
              </w:rPr>
            </w:pPr>
            <w:r w:rsidRPr="00477F96">
              <w:rPr>
                <w:rFonts w:ascii="Times New Roman" w:hAnsi="Times New Roman" w:cs="Times New Roman"/>
                <w:b/>
                <w:bCs/>
                <w:sz w:val="24"/>
                <w:szCs w:val="24"/>
              </w:rPr>
              <w:t>May, 2019</w:t>
            </w:r>
          </w:p>
          <w:p w:rsidR="00B14658" w:rsidRPr="00477F96" w:rsidRDefault="00B14658" w:rsidP="00477F96">
            <w:pPr>
              <w:pStyle w:val="BodyText"/>
              <w:tabs>
                <w:tab w:val="left" w:pos="989"/>
              </w:tabs>
              <w:bidi w:val="0"/>
              <w:spacing w:after="0" w:line="240" w:lineRule="auto"/>
              <w:rPr>
                <w:rFonts w:ascii="Times New Roman" w:hAnsi="Times New Roman" w:cs="Times New Roman"/>
                <w:sz w:val="24"/>
                <w:szCs w:val="24"/>
              </w:rPr>
            </w:pPr>
            <w:r w:rsidRPr="00477F96">
              <w:rPr>
                <w:rFonts w:ascii="Times New Roman" w:hAnsi="Times New Roman" w:cs="Times New Roman"/>
                <w:sz w:val="24"/>
                <w:szCs w:val="24"/>
              </w:rPr>
              <w:tab/>
            </w:r>
          </w:p>
        </w:tc>
        <w:tc>
          <w:tcPr>
            <w:tcW w:w="5849" w:type="dxa"/>
            <w:vAlign w:val="center"/>
          </w:tcPr>
          <w:p w:rsidR="00B14658" w:rsidRPr="00477F96" w:rsidRDefault="00B14658" w:rsidP="00477F96">
            <w:pPr>
              <w:pStyle w:val="Heading6"/>
              <w:keepLines w:val="0"/>
              <w:spacing w:before="0" w:line="240" w:lineRule="auto"/>
              <w:jc w:val="center"/>
              <w:rPr>
                <w:rFonts w:ascii="Times New Roman" w:eastAsia="Calibri" w:hAnsi="Times New Roman" w:cs="Times New Roman"/>
                <w:b/>
                <w:bCs/>
                <w:i w:val="0"/>
                <w:iCs w:val="0"/>
                <w:color w:val="auto"/>
                <w:sz w:val="24"/>
                <w:szCs w:val="24"/>
              </w:rPr>
            </w:pPr>
            <w:r w:rsidRPr="00477F96">
              <w:rPr>
                <w:rFonts w:ascii="Times New Roman" w:eastAsia="Calibri" w:hAnsi="Times New Roman" w:cs="Times New Roman"/>
                <w:b/>
                <w:bCs/>
                <w:i w:val="0"/>
                <w:iCs w:val="0"/>
                <w:color w:val="auto"/>
                <w:sz w:val="24"/>
                <w:szCs w:val="24"/>
                <w:rtl/>
              </w:rPr>
              <w:t xml:space="preserve">                                      </w:t>
            </w:r>
            <w:r w:rsidRPr="00477F96">
              <w:rPr>
                <w:rFonts w:ascii="Times New Roman" w:eastAsia="Calibri" w:hAnsi="Times New Roman" w:cs="Times New Roman"/>
                <w:b/>
                <w:bCs/>
                <w:i w:val="0"/>
                <w:iCs w:val="0"/>
                <w:color w:val="auto"/>
                <w:sz w:val="24"/>
                <w:szCs w:val="24"/>
                <w:lang w:val="en-US"/>
              </w:rPr>
              <w:t xml:space="preserve">               </w:t>
            </w:r>
            <w:r w:rsidRPr="00477F96">
              <w:rPr>
                <w:rFonts w:ascii="Times New Roman" w:eastAsia="Calibri" w:hAnsi="Times New Roman" w:cs="Times New Roman"/>
                <w:b/>
                <w:bCs/>
                <w:i w:val="0"/>
                <w:iCs w:val="0"/>
                <w:color w:val="auto"/>
                <w:sz w:val="24"/>
                <w:szCs w:val="24"/>
              </w:rPr>
              <w:t>Ola Awad</w:t>
            </w:r>
          </w:p>
          <w:p w:rsidR="00B14658" w:rsidRPr="00477F96" w:rsidRDefault="00B14658" w:rsidP="00477F96">
            <w:pPr>
              <w:pStyle w:val="Heading6"/>
              <w:keepLines w:val="0"/>
              <w:spacing w:before="0" w:line="240" w:lineRule="auto"/>
              <w:jc w:val="center"/>
              <w:rPr>
                <w:rFonts w:ascii="Times New Roman" w:eastAsia="Calibri" w:hAnsi="Times New Roman" w:cs="Times New Roman"/>
                <w:b/>
                <w:bCs/>
                <w:i w:val="0"/>
                <w:iCs w:val="0"/>
                <w:color w:val="auto"/>
                <w:sz w:val="24"/>
                <w:szCs w:val="24"/>
              </w:rPr>
            </w:pPr>
            <w:r w:rsidRPr="00477F96">
              <w:rPr>
                <w:rFonts w:ascii="Times New Roman" w:eastAsia="Calibri" w:hAnsi="Times New Roman" w:cs="Times New Roman"/>
                <w:b/>
                <w:bCs/>
                <w:i w:val="0"/>
                <w:iCs w:val="0"/>
                <w:color w:val="auto"/>
                <w:sz w:val="24"/>
                <w:szCs w:val="24"/>
                <w:rtl/>
              </w:rPr>
              <w:t xml:space="preserve">                                                      </w:t>
            </w:r>
            <w:r w:rsidRPr="00477F96">
              <w:rPr>
                <w:rFonts w:ascii="Times New Roman" w:eastAsia="Calibri" w:hAnsi="Times New Roman" w:cs="Times New Roman"/>
                <w:b/>
                <w:bCs/>
                <w:i w:val="0"/>
                <w:iCs w:val="0"/>
                <w:color w:val="auto"/>
                <w:sz w:val="24"/>
                <w:szCs w:val="24"/>
              </w:rPr>
              <w:t>President of PCBS</w:t>
            </w:r>
          </w:p>
          <w:p w:rsidR="00B14658" w:rsidRPr="00477F96" w:rsidRDefault="00B14658" w:rsidP="00477F96">
            <w:pPr>
              <w:pStyle w:val="BodyText"/>
              <w:bidi w:val="0"/>
              <w:spacing w:after="0" w:line="240" w:lineRule="auto"/>
              <w:ind w:firstLine="1274"/>
              <w:jc w:val="right"/>
              <w:rPr>
                <w:rFonts w:ascii="Times New Roman" w:hAnsi="Times New Roman" w:cs="Times New Roman"/>
                <w:sz w:val="24"/>
                <w:szCs w:val="24"/>
              </w:rPr>
            </w:pPr>
          </w:p>
        </w:tc>
      </w:tr>
    </w:tbl>
    <w:p w:rsidR="00B14658" w:rsidRPr="00477F96" w:rsidRDefault="00B14658" w:rsidP="00477F96">
      <w:pPr>
        <w:spacing w:after="0" w:line="240" w:lineRule="auto"/>
        <w:rPr>
          <w:rFonts w:ascii="Times New Roman" w:hAnsi="Times New Roman" w:cs="Times New Roman"/>
        </w:rPr>
      </w:pPr>
    </w:p>
    <w:p w:rsidR="00B14658" w:rsidRPr="00477F96" w:rsidRDefault="00B14658" w:rsidP="00477F96">
      <w:pPr>
        <w:spacing w:after="0" w:line="240" w:lineRule="auto"/>
        <w:rPr>
          <w:rFonts w:ascii="Times New Roman" w:hAnsi="Times New Roman" w:cs="Times New Roman"/>
        </w:rPr>
      </w:pPr>
      <w:r w:rsidRPr="00477F96">
        <w:rPr>
          <w:rFonts w:ascii="Times New Roman" w:hAnsi="Times New Roman" w:cs="Times New Roman"/>
        </w:rPr>
        <w:br w:type="page"/>
      </w:r>
    </w:p>
    <w:p w:rsidR="00477F96" w:rsidRDefault="00477F96" w:rsidP="00477F96">
      <w:pPr>
        <w:spacing w:after="0" w:line="240" w:lineRule="auto"/>
        <w:rPr>
          <w:rFonts w:ascii="Times New Roman" w:eastAsia="Times New Roman" w:hAnsi="Times New Roman" w:cs="Times New Roman"/>
          <w:b/>
          <w:bCs/>
          <w:sz w:val="28"/>
          <w:szCs w:val="28"/>
        </w:rPr>
      </w:pPr>
      <w:r>
        <w:rPr>
          <w:rFonts w:cs="Times New Roman"/>
          <w:sz w:val="28"/>
          <w:szCs w:val="28"/>
        </w:rPr>
        <w:lastRenderedPageBreak/>
        <w:br w:type="page"/>
      </w:r>
    </w:p>
    <w:p w:rsidR="00B14658" w:rsidRPr="00477F96" w:rsidRDefault="00B14658" w:rsidP="00AB6779">
      <w:pPr>
        <w:pStyle w:val="Title"/>
        <w:bidi w:val="0"/>
        <w:rPr>
          <w:rFonts w:cs="Times New Roman"/>
          <w:sz w:val="28"/>
          <w:szCs w:val="28"/>
        </w:rPr>
      </w:pPr>
      <w:r w:rsidRPr="00477F96">
        <w:rPr>
          <w:rFonts w:cs="Times New Roman"/>
          <w:sz w:val="28"/>
          <w:szCs w:val="28"/>
        </w:rPr>
        <w:lastRenderedPageBreak/>
        <w:t>Table of Contents</w:t>
      </w:r>
    </w:p>
    <w:p w:rsidR="00B14658" w:rsidRPr="00A245D1" w:rsidRDefault="00B14658" w:rsidP="00AB6779">
      <w:pPr>
        <w:pStyle w:val="Title"/>
        <w:bidi w:val="0"/>
        <w:rPr>
          <w:rFonts w:cs="Times New Roman"/>
          <w:sz w:val="22"/>
          <w:szCs w:val="22"/>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87"/>
        <w:gridCol w:w="6236"/>
        <w:gridCol w:w="849"/>
      </w:tblGrid>
      <w:tr w:rsidR="00B14658" w:rsidRPr="00477F96" w:rsidTr="00A245D1">
        <w:trPr>
          <w:trHeight w:val="340"/>
          <w:tblHeader/>
          <w:jc w:val="center"/>
        </w:trPr>
        <w:tc>
          <w:tcPr>
            <w:tcW w:w="1987" w:type="dxa"/>
            <w:shd w:val="clear" w:color="auto" w:fill="auto"/>
            <w:vAlign w:val="center"/>
          </w:tcPr>
          <w:p w:rsidR="00B14658" w:rsidRPr="00AB6779" w:rsidRDefault="00B14658" w:rsidP="00477F96">
            <w:pPr>
              <w:rPr>
                <w:rFonts w:ascii="Times New Roman" w:hAnsi="Times New Roman" w:cs="Times New Roman"/>
                <w:b/>
                <w:bCs/>
                <w:sz w:val="24"/>
                <w:szCs w:val="24"/>
              </w:rPr>
            </w:pPr>
            <w:r w:rsidRPr="00AB6779">
              <w:rPr>
                <w:rFonts w:ascii="Times New Roman" w:hAnsi="Times New Roman" w:cs="Times New Roman"/>
                <w:b/>
                <w:bCs/>
                <w:sz w:val="24"/>
                <w:szCs w:val="24"/>
              </w:rPr>
              <w:t>Subject</w:t>
            </w:r>
          </w:p>
        </w:tc>
        <w:tc>
          <w:tcPr>
            <w:tcW w:w="6236" w:type="dxa"/>
            <w:shd w:val="clear" w:color="auto" w:fill="auto"/>
            <w:vAlign w:val="center"/>
          </w:tcPr>
          <w:p w:rsidR="00B14658" w:rsidRPr="00AB6779" w:rsidRDefault="00B14658" w:rsidP="00477F96">
            <w:pPr>
              <w:jc w:val="center"/>
              <w:rPr>
                <w:rFonts w:ascii="Times New Roman" w:hAnsi="Times New Roman" w:cs="Times New Roman"/>
                <w:sz w:val="24"/>
                <w:szCs w:val="24"/>
              </w:rPr>
            </w:pPr>
          </w:p>
        </w:tc>
        <w:tc>
          <w:tcPr>
            <w:tcW w:w="849" w:type="dxa"/>
            <w:shd w:val="clear" w:color="auto" w:fill="auto"/>
            <w:vAlign w:val="center"/>
          </w:tcPr>
          <w:p w:rsidR="00B14658" w:rsidRPr="00AB6779" w:rsidRDefault="00B14658" w:rsidP="00A245D1">
            <w:pPr>
              <w:jc w:val="center"/>
              <w:rPr>
                <w:rFonts w:ascii="Times New Roman" w:hAnsi="Times New Roman" w:cs="Times New Roman"/>
                <w:sz w:val="24"/>
                <w:szCs w:val="24"/>
              </w:rPr>
            </w:pPr>
            <w:r w:rsidRPr="00AB6779">
              <w:rPr>
                <w:rFonts w:ascii="Times New Roman" w:hAnsi="Times New Roman" w:cs="Times New Roman"/>
                <w:b/>
                <w:bCs/>
                <w:sz w:val="24"/>
                <w:szCs w:val="24"/>
              </w:rPr>
              <w:t>Page</w:t>
            </w:r>
          </w:p>
        </w:tc>
      </w:tr>
      <w:tr w:rsidR="000939E6" w:rsidRPr="00477F96" w:rsidTr="00A245D1">
        <w:trPr>
          <w:trHeight w:hRule="exact" w:val="70"/>
          <w:jc w:val="center"/>
        </w:trPr>
        <w:tc>
          <w:tcPr>
            <w:tcW w:w="1987" w:type="dxa"/>
            <w:shd w:val="clear" w:color="auto" w:fill="auto"/>
            <w:vAlign w:val="center"/>
          </w:tcPr>
          <w:p w:rsidR="000939E6" w:rsidRPr="00AB6779" w:rsidRDefault="000939E6" w:rsidP="00477F96">
            <w:pPr>
              <w:rPr>
                <w:rFonts w:ascii="Times New Roman" w:hAnsi="Times New Roman" w:cs="Times New Roman"/>
                <w:b/>
                <w:bCs/>
                <w:sz w:val="24"/>
                <w:szCs w:val="24"/>
              </w:rPr>
            </w:pPr>
          </w:p>
        </w:tc>
        <w:tc>
          <w:tcPr>
            <w:tcW w:w="6236" w:type="dxa"/>
            <w:shd w:val="clear" w:color="auto" w:fill="auto"/>
            <w:vAlign w:val="center"/>
          </w:tcPr>
          <w:p w:rsidR="000939E6" w:rsidRPr="00AB6779" w:rsidRDefault="000939E6" w:rsidP="00477F96">
            <w:pPr>
              <w:jc w:val="center"/>
              <w:rPr>
                <w:rFonts w:ascii="Times New Roman" w:hAnsi="Times New Roman" w:cs="Times New Roman"/>
                <w:sz w:val="24"/>
                <w:szCs w:val="24"/>
              </w:rPr>
            </w:pPr>
          </w:p>
        </w:tc>
        <w:tc>
          <w:tcPr>
            <w:tcW w:w="849" w:type="dxa"/>
            <w:shd w:val="clear" w:color="auto" w:fill="auto"/>
            <w:vAlign w:val="center"/>
          </w:tcPr>
          <w:p w:rsidR="000939E6" w:rsidRPr="00AB6779" w:rsidRDefault="000939E6" w:rsidP="00A245D1">
            <w:pPr>
              <w:jc w:val="center"/>
              <w:rPr>
                <w:rFonts w:ascii="Times New Roman" w:hAnsi="Times New Roman" w:cs="Times New Roman"/>
                <w:b/>
                <w:bCs/>
                <w:sz w:val="24"/>
                <w:szCs w:val="24"/>
              </w:rPr>
            </w:pPr>
          </w:p>
        </w:tc>
      </w:tr>
      <w:tr w:rsidR="00B14658" w:rsidRPr="00477F96" w:rsidTr="00A245D1">
        <w:trPr>
          <w:trHeight w:val="340"/>
          <w:jc w:val="center"/>
        </w:trPr>
        <w:tc>
          <w:tcPr>
            <w:tcW w:w="1987" w:type="dxa"/>
            <w:shd w:val="clear" w:color="auto" w:fill="auto"/>
          </w:tcPr>
          <w:p w:rsidR="00B14658" w:rsidRPr="00AB6779" w:rsidRDefault="00B14658" w:rsidP="00477F96">
            <w:pPr>
              <w:rPr>
                <w:rFonts w:ascii="Times New Roman" w:hAnsi="Times New Roman" w:cs="Times New Roman"/>
                <w:sz w:val="24"/>
                <w:szCs w:val="24"/>
              </w:rPr>
            </w:pPr>
          </w:p>
        </w:tc>
        <w:tc>
          <w:tcPr>
            <w:tcW w:w="6236" w:type="dxa"/>
            <w:shd w:val="clear" w:color="auto" w:fill="auto"/>
            <w:vAlign w:val="center"/>
          </w:tcPr>
          <w:p w:rsidR="00B14658" w:rsidRPr="00AB6779" w:rsidRDefault="00B14658" w:rsidP="00477F96">
            <w:pPr>
              <w:rPr>
                <w:rFonts w:ascii="Times New Roman" w:hAnsi="Times New Roman" w:cs="Times New Roman"/>
                <w:sz w:val="24"/>
                <w:szCs w:val="24"/>
              </w:rPr>
            </w:pPr>
            <w:r w:rsidRPr="00AB6779">
              <w:rPr>
                <w:rFonts w:ascii="Times New Roman" w:hAnsi="Times New Roman" w:cs="Times New Roman"/>
                <w:sz w:val="24"/>
                <w:szCs w:val="24"/>
              </w:rPr>
              <w:t>List of Tables</w:t>
            </w:r>
          </w:p>
        </w:tc>
        <w:tc>
          <w:tcPr>
            <w:tcW w:w="849" w:type="dxa"/>
            <w:shd w:val="clear" w:color="auto" w:fill="auto"/>
          </w:tcPr>
          <w:p w:rsidR="00B14658" w:rsidRPr="00AB6779" w:rsidRDefault="00B14658" w:rsidP="00A245D1">
            <w:pPr>
              <w:jc w:val="center"/>
              <w:rPr>
                <w:rFonts w:ascii="Times New Roman" w:hAnsi="Times New Roman" w:cs="Times New Roman"/>
                <w:sz w:val="24"/>
                <w:szCs w:val="24"/>
              </w:rPr>
            </w:pPr>
          </w:p>
        </w:tc>
      </w:tr>
      <w:tr w:rsidR="00B14658" w:rsidRPr="00477F96" w:rsidTr="00A245D1">
        <w:trPr>
          <w:trHeight w:val="340"/>
          <w:jc w:val="center"/>
        </w:trPr>
        <w:tc>
          <w:tcPr>
            <w:tcW w:w="1987" w:type="dxa"/>
            <w:shd w:val="clear" w:color="auto" w:fill="auto"/>
          </w:tcPr>
          <w:p w:rsidR="00B14658" w:rsidRPr="00AB6779" w:rsidRDefault="00B14658" w:rsidP="00477F96">
            <w:pPr>
              <w:rPr>
                <w:rFonts w:ascii="Times New Roman" w:hAnsi="Times New Roman" w:cs="Times New Roman"/>
                <w:sz w:val="24"/>
                <w:szCs w:val="24"/>
              </w:rPr>
            </w:pPr>
          </w:p>
        </w:tc>
        <w:tc>
          <w:tcPr>
            <w:tcW w:w="6236" w:type="dxa"/>
            <w:shd w:val="clear" w:color="auto" w:fill="auto"/>
            <w:vAlign w:val="center"/>
          </w:tcPr>
          <w:p w:rsidR="00B14658" w:rsidRPr="00AB6779" w:rsidRDefault="00B14658" w:rsidP="00477F96">
            <w:pPr>
              <w:rPr>
                <w:rFonts w:ascii="Times New Roman" w:hAnsi="Times New Roman" w:cs="Times New Roman"/>
                <w:sz w:val="24"/>
                <w:szCs w:val="24"/>
              </w:rPr>
            </w:pPr>
            <w:r w:rsidRPr="00AB6779">
              <w:rPr>
                <w:rFonts w:ascii="Times New Roman" w:hAnsi="Times New Roman" w:cs="Times New Roman"/>
                <w:sz w:val="24"/>
                <w:szCs w:val="24"/>
              </w:rPr>
              <w:t>Summary of Performance of the Palestinian Economy</w:t>
            </w:r>
          </w:p>
        </w:tc>
        <w:tc>
          <w:tcPr>
            <w:tcW w:w="849" w:type="dxa"/>
            <w:shd w:val="clear" w:color="auto" w:fill="auto"/>
          </w:tcPr>
          <w:p w:rsidR="00B14658" w:rsidRPr="00AB6779" w:rsidRDefault="00B14658" w:rsidP="00A245D1">
            <w:pPr>
              <w:jc w:val="center"/>
              <w:rPr>
                <w:rFonts w:ascii="Times New Roman" w:hAnsi="Times New Roman" w:cs="Times New Roman"/>
                <w:sz w:val="24"/>
                <w:szCs w:val="24"/>
              </w:rPr>
            </w:pPr>
          </w:p>
        </w:tc>
      </w:tr>
      <w:tr w:rsidR="00B14658" w:rsidRPr="00477F96" w:rsidTr="00A245D1">
        <w:trPr>
          <w:trHeight w:hRule="exact" w:val="70"/>
          <w:jc w:val="center"/>
        </w:trPr>
        <w:tc>
          <w:tcPr>
            <w:tcW w:w="1987" w:type="dxa"/>
            <w:shd w:val="clear" w:color="auto" w:fill="auto"/>
          </w:tcPr>
          <w:p w:rsidR="00B14658" w:rsidRPr="00AB6779" w:rsidRDefault="00B14658" w:rsidP="00477F96">
            <w:pPr>
              <w:rPr>
                <w:rFonts w:ascii="Times New Roman" w:hAnsi="Times New Roman" w:cs="Times New Roman"/>
                <w:sz w:val="24"/>
                <w:szCs w:val="24"/>
              </w:rPr>
            </w:pPr>
          </w:p>
        </w:tc>
        <w:tc>
          <w:tcPr>
            <w:tcW w:w="6236" w:type="dxa"/>
            <w:shd w:val="clear" w:color="auto" w:fill="auto"/>
          </w:tcPr>
          <w:p w:rsidR="00B14658" w:rsidRPr="00AB6779" w:rsidRDefault="00B14658" w:rsidP="00477F96">
            <w:pPr>
              <w:rPr>
                <w:rFonts w:ascii="Times New Roman" w:hAnsi="Times New Roman" w:cs="Times New Roman"/>
                <w:sz w:val="24"/>
                <w:szCs w:val="24"/>
              </w:rPr>
            </w:pPr>
          </w:p>
        </w:tc>
        <w:tc>
          <w:tcPr>
            <w:tcW w:w="849" w:type="dxa"/>
            <w:shd w:val="clear" w:color="auto" w:fill="auto"/>
          </w:tcPr>
          <w:p w:rsidR="00B14658" w:rsidRPr="00AB6779" w:rsidRDefault="00B14658" w:rsidP="00A245D1">
            <w:pPr>
              <w:jc w:val="center"/>
              <w:rPr>
                <w:rFonts w:ascii="Times New Roman" w:hAnsi="Times New Roman" w:cs="Times New Roman"/>
                <w:sz w:val="24"/>
                <w:szCs w:val="24"/>
              </w:rPr>
            </w:pPr>
          </w:p>
        </w:tc>
      </w:tr>
      <w:tr w:rsidR="00B14658" w:rsidRPr="00477F96" w:rsidTr="00A245D1">
        <w:trPr>
          <w:trHeight w:val="340"/>
          <w:jc w:val="center"/>
        </w:trPr>
        <w:tc>
          <w:tcPr>
            <w:tcW w:w="1987" w:type="dxa"/>
            <w:shd w:val="clear" w:color="auto" w:fill="auto"/>
            <w:vAlign w:val="center"/>
          </w:tcPr>
          <w:p w:rsidR="00B14658" w:rsidRPr="00AB6779" w:rsidRDefault="00B14658" w:rsidP="00477F96">
            <w:pPr>
              <w:rPr>
                <w:rFonts w:ascii="Times New Roman" w:hAnsi="Times New Roman" w:cs="Times New Roman"/>
                <w:sz w:val="24"/>
                <w:szCs w:val="24"/>
              </w:rPr>
            </w:pPr>
            <w:r w:rsidRPr="00AB6779">
              <w:rPr>
                <w:rFonts w:ascii="Times New Roman" w:hAnsi="Times New Roman" w:cs="Times New Roman"/>
                <w:sz w:val="24"/>
                <w:szCs w:val="24"/>
              </w:rPr>
              <w:t>Chapter One:</w:t>
            </w:r>
          </w:p>
        </w:tc>
        <w:tc>
          <w:tcPr>
            <w:tcW w:w="6236" w:type="dxa"/>
            <w:shd w:val="clear" w:color="auto" w:fill="auto"/>
            <w:vAlign w:val="center"/>
          </w:tcPr>
          <w:p w:rsidR="00B14658" w:rsidRPr="00AB6779" w:rsidRDefault="00B14658" w:rsidP="00477F96">
            <w:pPr>
              <w:rPr>
                <w:rFonts w:ascii="Times New Roman" w:hAnsi="Times New Roman" w:cs="Times New Roman"/>
                <w:b/>
                <w:bCs/>
                <w:sz w:val="24"/>
                <w:szCs w:val="24"/>
              </w:rPr>
            </w:pPr>
            <w:r w:rsidRPr="00AB6779">
              <w:rPr>
                <w:rFonts w:ascii="Times New Roman" w:hAnsi="Times New Roman" w:cs="Times New Roman"/>
                <w:b/>
                <w:bCs/>
                <w:sz w:val="24"/>
                <w:szCs w:val="24"/>
              </w:rPr>
              <w:t>Real Sector</w:t>
            </w:r>
            <w:r w:rsidR="00AE1CD5">
              <w:rPr>
                <w:rFonts w:ascii="Times New Roman" w:hAnsi="Times New Roman" w:cs="Times New Roman"/>
                <w:b/>
                <w:bCs/>
                <w:sz w:val="24"/>
                <w:szCs w:val="24"/>
              </w:rPr>
              <w:t xml:space="preserve"> 2018</w:t>
            </w:r>
          </w:p>
        </w:tc>
        <w:tc>
          <w:tcPr>
            <w:tcW w:w="849" w:type="dxa"/>
            <w:shd w:val="clear" w:color="auto" w:fill="auto"/>
            <w:vAlign w:val="center"/>
          </w:tcPr>
          <w:p w:rsidR="00B14658" w:rsidRPr="00AB6779" w:rsidRDefault="00B14658" w:rsidP="00A245D1">
            <w:pPr>
              <w:jc w:val="center"/>
              <w:rPr>
                <w:rFonts w:ascii="Times New Roman" w:hAnsi="Times New Roman" w:cs="Times New Roman"/>
                <w:b/>
                <w:bCs/>
                <w:sz w:val="24"/>
                <w:szCs w:val="24"/>
              </w:rPr>
            </w:pPr>
            <w:r w:rsidRPr="00AB6779">
              <w:rPr>
                <w:rFonts w:ascii="Times New Roman" w:hAnsi="Times New Roman" w:cs="Times New Roman"/>
                <w:b/>
                <w:bCs/>
                <w:sz w:val="24"/>
                <w:szCs w:val="24"/>
              </w:rPr>
              <w:t>13</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E55EEA" w:rsidP="00362583">
            <w:pPr>
              <w:tabs>
                <w:tab w:val="left" w:pos="33"/>
              </w:tabs>
              <w:rPr>
                <w:rFonts w:ascii="Times New Roman" w:hAnsi="Times New Roman" w:cs="Times New Roman"/>
                <w:sz w:val="24"/>
                <w:szCs w:val="24"/>
              </w:rPr>
            </w:pPr>
            <w:r w:rsidRPr="00AB6779">
              <w:rPr>
                <w:rFonts w:ascii="Times New Roman" w:hAnsi="Times New Roman" w:cs="Times New Roman"/>
                <w:sz w:val="24"/>
                <w:szCs w:val="24"/>
              </w:rPr>
              <w:t xml:space="preserve">1.1 </w:t>
            </w:r>
            <w:r w:rsidR="00B14658" w:rsidRPr="00AB6779">
              <w:rPr>
                <w:rFonts w:ascii="Times New Roman" w:hAnsi="Times New Roman" w:cs="Times New Roman"/>
                <w:sz w:val="24"/>
                <w:szCs w:val="24"/>
              </w:rPr>
              <w:t>Gross Domestic Product (GDP) at constant prices</w:t>
            </w:r>
          </w:p>
        </w:tc>
        <w:tc>
          <w:tcPr>
            <w:tcW w:w="849" w:type="dxa"/>
            <w:shd w:val="clear" w:color="auto" w:fill="auto"/>
            <w:vAlign w:val="center"/>
          </w:tcPr>
          <w:p w:rsidR="00B14658" w:rsidRPr="00AB6779" w:rsidRDefault="00B14658" w:rsidP="00A245D1">
            <w:pPr>
              <w:jc w:val="center"/>
              <w:rPr>
                <w:rFonts w:ascii="Times New Roman" w:hAnsi="Times New Roman" w:cs="Times New Roman"/>
                <w:sz w:val="24"/>
                <w:szCs w:val="24"/>
              </w:rPr>
            </w:pPr>
            <w:r w:rsidRPr="00AB6779">
              <w:rPr>
                <w:rFonts w:ascii="Times New Roman" w:hAnsi="Times New Roman" w:cs="Times New Roman"/>
                <w:sz w:val="24"/>
                <w:szCs w:val="24"/>
              </w:rPr>
              <w:t>14</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362583">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1.1.1 </w:t>
            </w:r>
            <w:r w:rsidR="00B14658" w:rsidRPr="00AB6779">
              <w:rPr>
                <w:rFonts w:ascii="Times New Roman" w:hAnsi="Times New Roman" w:cs="Times New Roman"/>
                <w:sz w:val="24"/>
                <w:szCs w:val="24"/>
              </w:rPr>
              <w:t>Final Consumption Expenditure</w:t>
            </w:r>
          </w:p>
        </w:tc>
        <w:tc>
          <w:tcPr>
            <w:tcW w:w="849" w:type="dxa"/>
            <w:shd w:val="clear" w:color="auto" w:fill="auto"/>
            <w:vAlign w:val="center"/>
          </w:tcPr>
          <w:p w:rsidR="00B14658" w:rsidRPr="00AB6779" w:rsidRDefault="00D8317D" w:rsidP="00A245D1">
            <w:pPr>
              <w:jc w:val="center"/>
              <w:rPr>
                <w:rFonts w:ascii="Times New Roman" w:hAnsi="Times New Roman" w:cs="Times New Roman"/>
                <w:sz w:val="24"/>
                <w:szCs w:val="24"/>
              </w:rPr>
            </w:pPr>
            <w:r>
              <w:rPr>
                <w:rFonts w:ascii="Times New Roman" w:hAnsi="Times New Roman" w:cs="Times New Roman"/>
                <w:sz w:val="24"/>
                <w:szCs w:val="24"/>
              </w:rPr>
              <w:t>14</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1.1.2 </w:t>
            </w:r>
            <w:r w:rsidR="00B14658" w:rsidRPr="00AB6779">
              <w:rPr>
                <w:rFonts w:ascii="Times New Roman" w:hAnsi="Times New Roman" w:cs="Times New Roman"/>
                <w:sz w:val="24"/>
                <w:szCs w:val="24"/>
              </w:rPr>
              <w:t>Gross Capital Formation (Investment)</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14</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1.1.3 </w:t>
            </w:r>
            <w:r w:rsidR="00B14658" w:rsidRPr="00AB6779">
              <w:rPr>
                <w:rFonts w:ascii="Times New Roman" w:hAnsi="Times New Roman" w:cs="Times New Roman"/>
                <w:sz w:val="24"/>
                <w:szCs w:val="24"/>
              </w:rPr>
              <w:t>Savings</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15</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1.1.4 </w:t>
            </w:r>
            <w:r w:rsidR="00B14658" w:rsidRPr="00AB6779">
              <w:rPr>
                <w:rFonts w:ascii="Times New Roman" w:hAnsi="Times New Roman" w:cs="Times New Roman"/>
                <w:sz w:val="24"/>
                <w:szCs w:val="24"/>
              </w:rPr>
              <w:t>GDP Per Capita</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15</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E55EEA" w:rsidP="00E55EEA">
            <w:pPr>
              <w:tabs>
                <w:tab w:val="left" w:pos="260"/>
                <w:tab w:val="left" w:pos="335"/>
              </w:tabs>
              <w:rPr>
                <w:rFonts w:ascii="Times New Roman" w:hAnsi="Times New Roman" w:cs="Times New Roman"/>
                <w:b/>
                <w:bCs/>
                <w:sz w:val="24"/>
                <w:szCs w:val="24"/>
              </w:rPr>
            </w:pPr>
            <w:r w:rsidRPr="00AB6779">
              <w:rPr>
                <w:rFonts w:ascii="Times New Roman" w:hAnsi="Times New Roman" w:cs="Times New Roman"/>
                <w:sz w:val="24"/>
                <w:szCs w:val="24"/>
              </w:rPr>
              <w:t xml:space="preserve">1.2 </w:t>
            </w:r>
            <w:proofErr w:type="spellStart"/>
            <w:r w:rsidR="00B14658" w:rsidRPr="00AB6779">
              <w:rPr>
                <w:rFonts w:ascii="Times New Roman" w:hAnsi="Times New Roman" w:cs="Times New Roman"/>
                <w:sz w:val="24"/>
                <w:szCs w:val="24"/>
              </w:rPr>
              <w:t>Labor</w:t>
            </w:r>
            <w:proofErr w:type="spellEnd"/>
            <w:r w:rsidR="00B14658" w:rsidRPr="00AB6779">
              <w:rPr>
                <w:rFonts w:ascii="Times New Roman" w:hAnsi="Times New Roman" w:cs="Times New Roman"/>
                <w:sz w:val="24"/>
                <w:szCs w:val="24"/>
              </w:rPr>
              <w:t xml:space="preserve"> Market</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18</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1.2.1 </w:t>
            </w:r>
            <w:proofErr w:type="spellStart"/>
            <w:r w:rsidR="00B14658" w:rsidRPr="00AB6779">
              <w:rPr>
                <w:rFonts w:ascii="Times New Roman" w:hAnsi="Times New Roman" w:cs="Times New Roman"/>
                <w:sz w:val="24"/>
                <w:szCs w:val="24"/>
              </w:rPr>
              <w:t>labor</w:t>
            </w:r>
            <w:proofErr w:type="spellEnd"/>
            <w:r w:rsidR="00B14658" w:rsidRPr="00AB6779">
              <w:rPr>
                <w:rFonts w:ascii="Times New Roman" w:hAnsi="Times New Roman" w:cs="Times New Roman"/>
                <w:sz w:val="24"/>
                <w:szCs w:val="24"/>
              </w:rPr>
              <w:t xml:space="preserve"> Force Size</w:t>
            </w:r>
          </w:p>
        </w:tc>
        <w:tc>
          <w:tcPr>
            <w:tcW w:w="849" w:type="dxa"/>
            <w:shd w:val="clear" w:color="auto" w:fill="auto"/>
            <w:vAlign w:val="center"/>
          </w:tcPr>
          <w:p w:rsidR="00B14658" w:rsidRPr="00AB6779" w:rsidRDefault="00B14658" w:rsidP="00A245D1">
            <w:pPr>
              <w:jc w:val="center"/>
              <w:rPr>
                <w:rFonts w:ascii="Times New Roman" w:hAnsi="Times New Roman" w:cs="Times New Roman"/>
                <w:sz w:val="24"/>
                <w:szCs w:val="24"/>
              </w:rPr>
            </w:pPr>
            <w:r w:rsidRPr="00AB6779">
              <w:rPr>
                <w:rFonts w:ascii="Times New Roman" w:hAnsi="Times New Roman" w:cs="Times New Roman"/>
                <w:sz w:val="24"/>
                <w:szCs w:val="24"/>
              </w:rPr>
              <w:t>19</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1.2.2 </w:t>
            </w:r>
            <w:r w:rsidR="00B14658" w:rsidRPr="00AB6779">
              <w:rPr>
                <w:rFonts w:ascii="Times New Roman" w:hAnsi="Times New Roman" w:cs="Times New Roman"/>
                <w:sz w:val="24"/>
                <w:szCs w:val="24"/>
              </w:rPr>
              <w:t>Unemployment Rate</w:t>
            </w:r>
          </w:p>
        </w:tc>
        <w:tc>
          <w:tcPr>
            <w:tcW w:w="849" w:type="dxa"/>
            <w:shd w:val="clear" w:color="auto" w:fill="auto"/>
            <w:vAlign w:val="center"/>
          </w:tcPr>
          <w:p w:rsidR="00B14658" w:rsidRPr="00AB6779" w:rsidRDefault="00B14658" w:rsidP="00A245D1">
            <w:pPr>
              <w:jc w:val="center"/>
              <w:rPr>
                <w:rFonts w:ascii="Times New Roman" w:hAnsi="Times New Roman" w:cs="Times New Roman"/>
                <w:sz w:val="24"/>
                <w:szCs w:val="24"/>
              </w:rPr>
            </w:pPr>
            <w:r w:rsidRPr="00AB6779">
              <w:rPr>
                <w:rFonts w:ascii="Times New Roman" w:hAnsi="Times New Roman" w:cs="Times New Roman"/>
                <w:sz w:val="24"/>
                <w:szCs w:val="24"/>
              </w:rPr>
              <w:t>20</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1.2.3 </w:t>
            </w:r>
            <w:r w:rsidR="00B14658" w:rsidRPr="00AB6779">
              <w:rPr>
                <w:rFonts w:ascii="Times New Roman" w:hAnsi="Times New Roman" w:cs="Times New Roman"/>
                <w:sz w:val="24"/>
                <w:szCs w:val="24"/>
              </w:rPr>
              <w:t>Number of Employed Persons by Economic Activity</w:t>
            </w:r>
          </w:p>
        </w:tc>
        <w:tc>
          <w:tcPr>
            <w:tcW w:w="849" w:type="dxa"/>
            <w:shd w:val="clear" w:color="auto" w:fill="auto"/>
            <w:vAlign w:val="center"/>
          </w:tcPr>
          <w:p w:rsidR="00B14658" w:rsidRPr="00AB6779" w:rsidRDefault="00B14658" w:rsidP="00A245D1">
            <w:pPr>
              <w:jc w:val="center"/>
              <w:rPr>
                <w:rFonts w:ascii="Times New Roman" w:hAnsi="Times New Roman" w:cs="Times New Roman"/>
                <w:sz w:val="24"/>
                <w:szCs w:val="24"/>
              </w:rPr>
            </w:pPr>
            <w:r w:rsidRPr="00AB6779">
              <w:rPr>
                <w:rFonts w:ascii="Times New Roman" w:hAnsi="Times New Roman" w:cs="Times New Roman"/>
                <w:sz w:val="24"/>
                <w:szCs w:val="24"/>
              </w:rPr>
              <w:t>20</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1.2.4 </w:t>
            </w:r>
            <w:r w:rsidR="00922AF3">
              <w:rPr>
                <w:rFonts w:ascii="Times New Roman" w:hAnsi="Times New Roman" w:cs="Times New Roman"/>
                <w:sz w:val="24"/>
                <w:szCs w:val="24"/>
              </w:rPr>
              <w:t>Wages for Employed Persons</w:t>
            </w:r>
            <w:r w:rsidR="00B14658" w:rsidRPr="00AB6779">
              <w:rPr>
                <w:rFonts w:ascii="Times New Roman" w:hAnsi="Times New Roman" w:cs="Times New Roman"/>
                <w:sz w:val="24"/>
                <w:szCs w:val="24"/>
              </w:rPr>
              <w:t xml:space="preserve"> from Palestine</w:t>
            </w:r>
          </w:p>
        </w:tc>
        <w:tc>
          <w:tcPr>
            <w:tcW w:w="849" w:type="dxa"/>
            <w:shd w:val="clear" w:color="auto" w:fill="auto"/>
            <w:vAlign w:val="center"/>
          </w:tcPr>
          <w:p w:rsidR="00B14658" w:rsidRPr="00AB6779" w:rsidRDefault="00B14658" w:rsidP="00A245D1">
            <w:pPr>
              <w:jc w:val="center"/>
              <w:rPr>
                <w:rFonts w:ascii="Times New Roman" w:hAnsi="Times New Roman" w:cs="Times New Roman"/>
                <w:sz w:val="24"/>
                <w:szCs w:val="24"/>
              </w:rPr>
            </w:pPr>
            <w:r w:rsidRPr="00AB6779">
              <w:rPr>
                <w:rFonts w:ascii="Times New Roman" w:hAnsi="Times New Roman" w:cs="Times New Roman"/>
                <w:sz w:val="24"/>
                <w:szCs w:val="24"/>
              </w:rPr>
              <w:t>22</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1.2.5 </w:t>
            </w:r>
            <w:r w:rsidR="00B14658" w:rsidRPr="00AB6779">
              <w:rPr>
                <w:rFonts w:ascii="Times New Roman" w:hAnsi="Times New Roman" w:cs="Times New Roman"/>
                <w:sz w:val="24"/>
                <w:szCs w:val="24"/>
              </w:rPr>
              <w:t xml:space="preserve">Wages for </w:t>
            </w:r>
            <w:r w:rsidR="00922AF3">
              <w:rPr>
                <w:rFonts w:ascii="Times New Roman" w:hAnsi="Times New Roman" w:cs="Times New Roman"/>
                <w:sz w:val="24"/>
                <w:szCs w:val="24"/>
              </w:rPr>
              <w:t>Employed Persons</w:t>
            </w:r>
            <w:r w:rsidR="00922AF3" w:rsidRPr="00AB6779">
              <w:rPr>
                <w:rFonts w:ascii="Times New Roman" w:hAnsi="Times New Roman" w:cs="Times New Roman"/>
                <w:sz w:val="24"/>
                <w:szCs w:val="24"/>
              </w:rPr>
              <w:t xml:space="preserve"> </w:t>
            </w:r>
            <w:r w:rsidR="00B14658" w:rsidRPr="00AB6779">
              <w:rPr>
                <w:rFonts w:ascii="Times New Roman" w:hAnsi="Times New Roman" w:cs="Times New Roman"/>
                <w:sz w:val="24"/>
                <w:szCs w:val="24"/>
              </w:rPr>
              <w:t>in Palestine</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22</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E55EEA">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E55EEA" w:rsidRPr="00AB6779">
              <w:rPr>
                <w:rFonts w:ascii="Times New Roman" w:hAnsi="Times New Roman" w:cs="Times New Roman"/>
                <w:sz w:val="24"/>
                <w:szCs w:val="24"/>
              </w:rPr>
              <w:t xml:space="preserve"> 1.2.6 </w:t>
            </w:r>
            <w:r w:rsidR="00B14658" w:rsidRPr="00AB6779">
              <w:rPr>
                <w:rFonts w:ascii="Times New Roman" w:hAnsi="Times New Roman" w:cs="Times New Roman"/>
                <w:sz w:val="24"/>
                <w:szCs w:val="24"/>
              </w:rPr>
              <w:t>Average Value Added Per Employed Person</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23</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E55EEA" w:rsidP="00E55EEA">
            <w:pPr>
              <w:tabs>
                <w:tab w:val="left" w:pos="260"/>
                <w:tab w:val="left" w:pos="335"/>
              </w:tabs>
              <w:rPr>
                <w:rFonts w:ascii="Times New Roman" w:hAnsi="Times New Roman" w:cs="Times New Roman"/>
                <w:sz w:val="24"/>
                <w:szCs w:val="24"/>
              </w:rPr>
            </w:pPr>
            <w:r w:rsidRPr="00AB6779">
              <w:rPr>
                <w:rFonts w:ascii="Times New Roman" w:hAnsi="Times New Roman" w:cs="Times New Roman"/>
                <w:sz w:val="24"/>
                <w:szCs w:val="24"/>
              </w:rPr>
              <w:t xml:space="preserve">1.3 </w:t>
            </w:r>
            <w:r w:rsidR="00B14658" w:rsidRPr="00AB6779">
              <w:rPr>
                <w:rFonts w:ascii="Times New Roman" w:hAnsi="Times New Roman" w:cs="Times New Roman"/>
                <w:sz w:val="24"/>
                <w:szCs w:val="24"/>
              </w:rPr>
              <w:t>Prices and Purchasing Power</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25</w:t>
            </w:r>
          </w:p>
        </w:tc>
      </w:tr>
      <w:tr w:rsidR="00B14658" w:rsidRPr="00477F96" w:rsidTr="00A245D1">
        <w:trPr>
          <w:trHeight w:hRule="exact" w:val="70"/>
          <w:jc w:val="center"/>
        </w:trPr>
        <w:tc>
          <w:tcPr>
            <w:tcW w:w="1987" w:type="dxa"/>
            <w:shd w:val="clear" w:color="auto" w:fill="auto"/>
          </w:tcPr>
          <w:p w:rsidR="00B14658" w:rsidRPr="00AB6779" w:rsidRDefault="00B14658" w:rsidP="00477F96">
            <w:pPr>
              <w:rPr>
                <w:rFonts w:ascii="Times New Roman" w:hAnsi="Times New Roman" w:cs="Times New Roman"/>
                <w:sz w:val="24"/>
                <w:szCs w:val="24"/>
              </w:rPr>
            </w:pPr>
          </w:p>
        </w:tc>
        <w:tc>
          <w:tcPr>
            <w:tcW w:w="6236" w:type="dxa"/>
            <w:shd w:val="clear" w:color="auto" w:fill="auto"/>
          </w:tcPr>
          <w:p w:rsidR="00B14658" w:rsidRPr="00AB6779" w:rsidRDefault="00B14658" w:rsidP="00477F96">
            <w:pPr>
              <w:rPr>
                <w:rFonts w:ascii="Times New Roman" w:hAnsi="Times New Roman" w:cs="Times New Roman"/>
                <w:sz w:val="24"/>
                <w:szCs w:val="24"/>
              </w:rPr>
            </w:pPr>
          </w:p>
        </w:tc>
        <w:tc>
          <w:tcPr>
            <w:tcW w:w="849" w:type="dxa"/>
            <w:shd w:val="clear" w:color="auto" w:fill="auto"/>
          </w:tcPr>
          <w:p w:rsidR="00B14658" w:rsidRPr="00AB6779" w:rsidRDefault="00B14658" w:rsidP="00A245D1">
            <w:pPr>
              <w:jc w:val="center"/>
              <w:rPr>
                <w:rFonts w:ascii="Times New Roman" w:hAnsi="Times New Roman" w:cs="Times New Roman"/>
                <w:sz w:val="24"/>
                <w:szCs w:val="24"/>
              </w:rPr>
            </w:pPr>
          </w:p>
        </w:tc>
      </w:tr>
      <w:tr w:rsidR="00B14658" w:rsidRPr="00477F96" w:rsidTr="00A245D1">
        <w:trPr>
          <w:trHeight w:val="340"/>
          <w:jc w:val="center"/>
        </w:trPr>
        <w:tc>
          <w:tcPr>
            <w:tcW w:w="1987" w:type="dxa"/>
            <w:shd w:val="clear" w:color="auto" w:fill="auto"/>
            <w:vAlign w:val="center"/>
          </w:tcPr>
          <w:p w:rsidR="00B14658" w:rsidRPr="00AB6779" w:rsidRDefault="00B14658" w:rsidP="00477F96">
            <w:pPr>
              <w:rPr>
                <w:rFonts w:ascii="Times New Roman" w:hAnsi="Times New Roman" w:cs="Times New Roman"/>
                <w:sz w:val="24"/>
                <w:szCs w:val="24"/>
              </w:rPr>
            </w:pPr>
            <w:r w:rsidRPr="00AB6779">
              <w:rPr>
                <w:rFonts w:ascii="Times New Roman" w:hAnsi="Times New Roman" w:cs="Times New Roman"/>
                <w:sz w:val="24"/>
                <w:szCs w:val="24"/>
              </w:rPr>
              <w:t>Chapter Two:</w:t>
            </w:r>
          </w:p>
        </w:tc>
        <w:tc>
          <w:tcPr>
            <w:tcW w:w="6236" w:type="dxa"/>
            <w:shd w:val="clear" w:color="auto" w:fill="auto"/>
            <w:vAlign w:val="center"/>
          </w:tcPr>
          <w:p w:rsidR="00B14658" w:rsidRPr="00AB6779" w:rsidRDefault="00B14658" w:rsidP="00477F96">
            <w:pPr>
              <w:rPr>
                <w:rFonts w:ascii="Times New Roman" w:hAnsi="Times New Roman" w:cs="Times New Roman"/>
                <w:b/>
                <w:bCs/>
                <w:sz w:val="24"/>
                <w:szCs w:val="24"/>
              </w:rPr>
            </w:pPr>
            <w:r w:rsidRPr="00AB6779">
              <w:rPr>
                <w:rFonts w:ascii="Times New Roman" w:hAnsi="Times New Roman" w:cs="Times New Roman"/>
                <w:b/>
                <w:bCs/>
                <w:sz w:val="24"/>
                <w:szCs w:val="24"/>
              </w:rPr>
              <w:t>Public Finance</w:t>
            </w:r>
            <w:r w:rsidR="00AE1CD5">
              <w:rPr>
                <w:rFonts w:ascii="Times New Roman" w:hAnsi="Times New Roman" w:cs="Times New Roman"/>
                <w:b/>
                <w:bCs/>
                <w:sz w:val="24"/>
                <w:szCs w:val="24"/>
              </w:rPr>
              <w:t xml:space="preserve"> 2018</w:t>
            </w:r>
          </w:p>
        </w:tc>
        <w:tc>
          <w:tcPr>
            <w:tcW w:w="849" w:type="dxa"/>
            <w:shd w:val="clear" w:color="auto" w:fill="auto"/>
            <w:vAlign w:val="center"/>
          </w:tcPr>
          <w:p w:rsidR="00B14658" w:rsidRPr="00AB6779" w:rsidRDefault="00B868A9" w:rsidP="00A245D1">
            <w:pPr>
              <w:jc w:val="center"/>
              <w:rPr>
                <w:rFonts w:ascii="Times New Roman" w:hAnsi="Times New Roman" w:cs="Times New Roman"/>
                <w:b/>
                <w:bCs/>
                <w:sz w:val="24"/>
                <w:szCs w:val="24"/>
              </w:rPr>
            </w:pPr>
            <w:r>
              <w:rPr>
                <w:rFonts w:ascii="Times New Roman" w:hAnsi="Times New Roman" w:cs="Times New Roman"/>
                <w:b/>
                <w:bCs/>
                <w:sz w:val="24"/>
                <w:szCs w:val="24"/>
              </w:rPr>
              <w:t>28</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b/>
                <w:bCs/>
                <w:sz w:val="24"/>
                <w:szCs w:val="24"/>
              </w:rPr>
            </w:pPr>
          </w:p>
        </w:tc>
        <w:tc>
          <w:tcPr>
            <w:tcW w:w="6236" w:type="dxa"/>
            <w:shd w:val="clear" w:color="auto" w:fill="auto"/>
            <w:vAlign w:val="center"/>
          </w:tcPr>
          <w:p w:rsidR="00B14658" w:rsidRPr="00AB6779" w:rsidRDefault="00A242A8" w:rsidP="00A242A8">
            <w:pPr>
              <w:tabs>
                <w:tab w:val="left" w:pos="260"/>
                <w:tab w:val="left" w:pos="335"/>
              </w:tabs>
              <w:rPr>
                <w:rFonts w:ascii="Times New Roman" w:hAnsi="Times New Roman" w:cs="Times New Roman"/>
                <w:sz w:val="24"/>
                <w:szCs w:val="24"/>
              </w:rPr>
            </w:pPr>
            <w:r w:rsidRPr="00AB6779">
              <w:rPr>
                <w:rFonts w:ascii="Times New Roman" w:hAnsi="Times New Roman" w:cs="Times New Roman"/>
                <w:sz w:val="24"/>
                <w:szCs w:val="24"/>
              </w:rPr>
              <w:t xml:space="preserve">2.1 </w:t>
            </w:r>
            <w:r w:rsidR="00B14658" w:rsidRPr="00AB6779">
              <w:rPr>
                <w:rFonts w:ascii="Times New Roman" w:hAnsi="Times New Roman" w:cs="Times New Roman"/>
                <w:sz w:val="24"/>
                <w:szCs w:val="24"/>
              </w:rPr>
              <w:t>Current Balance (Deficit)</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29</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A242A8" w:rsidP="00477F96">
            <w:pPr>
              <w:rPr>
                <w:rFonts w:ascii="Times New Roman" w:hAnsi="Times New Roman" w:cs="Times New Roman"/>
                <w:sz w:val="24"/>
                <w:szCs w:val="24"/>
                <w:lang w:val="en-US"/>
              </w:rPr>
            </w:pPr>
            <w:r w:rsidRPr="00AB6779">
              <w:rPr>
                <w:rFonts w:ascii="Times New Roman" w:hAnsi="Times New Roman" w:cs="Times New Roman"/>
                <w:sz w:val="24"/>
                <w:szCs w:val="24"/>
              </w:rPr>
              <w:t xml:space="preserve">2.2 </w:t>
            </w:r>
            <w:r w:rsidR="00B14658" w:rsidRPr="00AB6779">
              <w:rPr>
                <w:rFonts w:ascii="Times New Roman" w:hAnsi="Times New Roman" w:cs="Times New Roman"/>
                <w:sz w:val="24"/>
                <w:szCs w:val="24"/>
              </w:rPr>
              <w:t>Total Public Revenues and Grants</w:t>
            </w:r>
            <w:r w:rsidR="00B14658" w:rsidRPr="00AB6779">
              <w:rPr>
                <w:rFonts w:ascii="Times New Roman" w:hAnsi="Times New Roman" w:cs="Times New Roman"/>
                <w:sz w:val="24"/>
                <w:szCs w:val="24"/>
                <w:lang w:val="en-US"/>
              </w:rPr>
              <w:t xml:space="preserve"> (Net)</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30</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A242A8">
            <w:pPr>
              <w:tabs>
                <w:tab w:val="left" w:pos="260"/>
                <w:tab w:val="left" w:pos="335"/>
              </w:tabs>
              <w:rPr>
                <w:rFonts w:ascii="Times New Roman" w:hAnsi="Times New Roman" w:cs="Times New Roman"/>
                <w:sz w:val="24"/>
                <w:szCs w:val="24"/>
              </w:rPr>
            </w:pPr>
            <w:r>
              <w:rPr>
                <w:rFonts w:ascii="Times New Roman" w:hAnsi="Times New Roman" w:cs="Times New Roman"/>
                <w:sz w:val="24"/>
                <w:szCs w:val="24"/>
              </w:rPr>
              <w:t xml:space="preserve">      </w:t>
            </w:r>
            <w:r w:rsidR="00A242A8" w:rsidRPr="00AB6779">
              <w:rPr>
                <w:rFonts w:ascii="Times New Roman" w:hAnsi="Times New Roman" w:cs="Times New Roman"/>
                <w:sz w:val="24"/>
                <w:szCs w:val="24"/>
              </w:rPr>
              <w:t xml:space="preserve">2.2.1 </w:t>
            </w:r>
            <w:r w:rsidR="00B14658" w:rsidRPr="00AB6779">
              <w:rPr>
                <w:rFonts w:ascii="Times New Roman" w:hAnsi="Times New Roman" w:cs="Times New Roman"/>
                <w:sz w:val="24"/>
                <w:szCs w:val="24"/>
              </w:rPr>
              <w:t>Gross Domestic Revenues</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31</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A242A8">
            <w:pPr>
              <w:rPr>
                <w:rFonts w:ascii="Times New Roman" w:hAnsi="Times New Roman" w:cs="Times New Roman"/>
                <w:sz w:val="24"/>
                <w:szCs w:val="24"/>
              </w:rPr>
            </w:pPr>
            <w:r>
              <w:rPr>
                <w:rFonts w:ascii="Times New Roman" w:hAnsi="Times New Roman" w:cs="Times New Roman"/>
                <w:sz w:val="24"/>
                <w:szCs w:val="24"/>
              </w:rPr>
              <w:t xml:space="preserve">      </w:t>
            </w:r>
            <w:r w:rsidR="00A242A8" w:rsidRPr="00AB6779">
              <w:rPr>
                <w:rFonts w:ascii="Times New Roman" w:hAnsi="Times New Roman" w:cs="Times New Roman"/>
                <w:sz w:val="24"/>
                <w:szCs w:val="24"/>
              </w:rPr>
              <w:t xml:space="preserve">2.2.2 </w:t>
            </w:r>
            <w:r w:rsidR="00B14658" w:rsidRPr="00AB6779">
              <w:rPr>
                <w:rFonts w:ascii="Times New Roman" w:hAnsi="Times New Roman" w:cs="Times New Roman"/>
                <w:sz w:val="24"/>
                <w:szCs w:val="24"/>
              </w:rPr>
              <w:t>Clearance Revenues</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31</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A242A8">
            <w:pPr>
              <w:rPr>
                <w:rFonts w:ascii="Times New Roman" w:hAnsi="Times New Roman" w:cs="Times New Roman"/>
                <w:sz w:val="24"/>
                <w:szCs w:val="24"/>
              </w:rPr>
            </w:pPr>
            <w:r>
              <w:rPr>
                <w:rFonts w:ascii="Times New Roman" w:hAnsi="Times New Roman" w:cs="Times New Roman"/>
                <w:sz w:val="24"/>
                <w:szCs w:val="24"/>
              </w:rPr>
              <w:t xml:space="preserve">      </w:t>
            </w:r>
            <w:r w:rsidR="00A242A8" w:rsidRPr="00AB6779">
              <w:rPr>
                <w:rFonts w:ascii="Times New Roman" w:hAnsi="Times New Roman" w:cs="Times New Roman"/>
                <w:sz w:val="24"/>
                <w:szCs w:val="24"/>
              </w:rPr>
              <w:t xml:space="preserve">2.2.3 </w:t>
            </w:r>
            <w:r w:rsidR="00B14658" w:rsidRPr="00AB6779">
              <w:rPr>
                <w:rFonts w:ascii="Times New Roman" w:hAnsi="Times New Roman" w:cs="Times New Roman"/>
                <w:sz w:val="24"/>
                <w:szCs w:val="24"/>
              </w:rPr>
              <w:t>External Financing (Grants)</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31</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A242A8" w:rsidP="00477F96">
            <w:pPr>
              <w:rPr>
                <w:rFonts w:ascii="Times New Roman" w:hAnsi="Times New Roman" w:cs="Times New Roman"/>
                <w:sz w:val="24"/>
                <w:szCs w:val="24"/>
                <w:lang w:val="en-US"/>
              </w:rPr>
            </w:pPr>
            <w:r w:rsidRPr="00AB6779">
              <w:rPr>
                <w:rFonts w:ascii="Times New Roman" w:hAnsi="Times New Roman" w:cs="Times New Roman"/>
                <w:sz w:val="24"/>
                <w:szCs w:val="24"/>
              </w:rPr>
              <w:t xml:space="preserve">2.3 </w:t>
            </w:r>
            <w:r w:rsidR="00B14658" w:rsidRPr="00AB6779">
              <w:rPr>
                <w:rFonts w:ascii="Times New Roman" w:hAnsi="Times New Roman" w:cs="Times New Roman"/>
                <w:sz w:val="24"/>
                <w:szCs w:val="24"/>
              </w:rPr>
              <w:t>Total Public Expenditures</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32</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A242A8">
            <w:pPr>
              <w:rPr>
                <w:rFonts w:ascii="Times New Roman" w:hAnsi="Times New Roman" w:cs="Times New Roman"/>
                <w:sz w:val="24"/>
                <w:szCs w:val="24"/>
              </w:rPr>
            </w:pPr>
            <w:r>
              <w:rPr>
                <w:rFonts w:ascii="Times New Roman" w:hAnsi="Times New Roman" w:cs="Times New Roman"/>
                <w:sz w:val="24"/>
                <w:szCs w:val="24"/>
              </w:rPr>
              <w:t xml:space="preserve">      </w:t>
            </w:r>
            <w:r w:rsidR="00A242A8" w:rsidRPr="00AB6779">
              <w:rPr>
                <w:rFonts w:ascii="Times New Roman" w:hAnsi="Times New Roman" w:cs="Times New Roman"/>
                <w:sz w:val="24"/>
                <w:szCs w:val="24"/>
              </w:rPr>
              <w:t xml:space="preserve">2.3.1 </w:t>
            </w:r>
            <w:r w:rsidR="00B14658" w:rsidRPr="00AB6779">
              <w:rPr>
                <w:rFonts w:ascii="Times New Roman" w:hAnsi="Times New Roman" w:cs="Times New Roman"/>
                <w:sz w:val="24"/>
                <w:szCs w:val="24"/>
              </w:rPr>
              <w:t>Current Expenditures and Net Lending</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32</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362583" w:rsidP="00A242A8">
            <w:pPr>
              <w:rPr>
                <w:rFonts w:ascii="Times New Roman" w:hAnsi="Times New Roman" w:cs="Times New Roman"/>
                <w:sz w:val="24"/>
                <w:szCs w:val="24"/>
              </w:rPr>
            </w:pPr>
            <w:r>
              <w:rPr>
                <w:rFonts w:ascii="Times New Roman" w:hAnsi="Times New Roman" w:cs="Times New Roman"/>
                <w:sz w:val="24"/>
                <w:szCs w:val="24"/>
              </w:rPr>
              <w:t xml:space="preserve">     </w:t>
            </w:r>
            <w:r w:rsidR="00A242A8" w:rsidRPr="00AB6779">
              <w:rPr>
                <w:rFonts w:ascii="Times New Roman" w:hAnsi="Times New Roman" w:cs="Times New Roman"/>
                <w:sz w:val="24"/>
                <w:szCs w:val="24"/>
              </w:rPr>
              <w:t xml:space="preserve"> 2.3.2 </w:t>
            </w:r>
            <w:r w:rsidR="00B14658" w:rsidRPr="00AB6779">
              <w:rPr>
                <w:rFonts w:ascii="Times New Roman" w:hAnsi="Times New Roman" w:cs="Times New Roman"/>
                <w:sz w:val="24"/>
                <w:szCs w:val="24"/>
              </w:rPr>
              <w:t>Development Expenditures</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33</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A242A8" w:rsidP="00A242A8">
            <w:pPr>
              <w:rPr>
                <w:rFonts w:ascii="Times New Roman" w:hAnsi="Times New Roman" w:cs="Times New Roman"/>
                <w:sz w:val="24"/>
                <w:szCs w:val="24"/>
              </w:rPr>
            </w:pPr>
            <w:r w:rsidRPr="00AB6779">
              <w:rPr>
                <w:rFonts w:ascii="Times New Roman" w:hAnsi="Times New Roman" w:cs="Times New Roman"/>
                <w:sz w:val="24"/>
                <w:szCs w:val="24"/>
              </w:rPr>
              <w:t xml:space="preserve">2.4 </w:t>
            </w:r>
            <w:r w:rsidR="00B14658" w:rsidRPr="00AB6779">
              <w:rPr>
                <w:rFonts w:ascii="Times New Roman" w:hAnsi="Times New Roman" w:cs="Times New Roman"/>
                <w:sz w:val="24"/>
                <w:szCs w:val="24"/>
              </w:rPr>
              <w:t>Total Public Debt</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33</w:t>
            </w:r>
          </w:p>
        </w:tc>
      </w:tr>
      <w:tr w:rsidR="00B14658" w:rsidRPr="00477F96" w:rsidTr="00A245D1">
        <w:trPr>
          <w:trHeight w:hRule="exact" w:val="70"/>
          <w:jc w:val="center"/>
        </w:trPr>
        <w:tc>
          <w:tcPr>
            <w:tcW w:w="1987" w:type="dxa"/>
            <w:shd w:val="clear" w:color="auto" w:fill="auto"/>
          </w:tcPr>
          <w:p w:rsidR="00B14658" w:rsidRPr="00AB6779" w:rsidRDefault="00B14658" w:rsidP="00477F96">
            <w:pPr>
              <w:rPr>
                <w:rFonts w:ascii="Times New Roman" w:hAnsi="Times New Roman" w:cs="Times New Roman"/>
                <w:sz w:val="24"/>
                <w:szCs w:val="24"/>
              </w:rPr>
            </w:pPr>
          </w:p>
        </w:tc>
        <w:tc>
          <w:tcPr>
            <w:tcW w:w="6236" w:type="dxa"/>
            <w:shd w:val="clear" w:color="auto" w:fill="auto"/>
          </w:tcPr>
          <w:p w:rsidR="00B14658" w:rsidRPr="00AB6779" w:rsidRDefault="00B14658" w:rsidP="00477F96">
            <w:pPr>
              <w:ind w:left="360"/>
              <w:rPr>
                <w:rFonts w:ascii="Times New Roman" w:hAnsi="Times New Roman" w:cs="Times New Roman"/>
                <w:sz w:val="24"/>
                <w:szCs w:val="24"/>
              </w:rPr>
            </w:pPr>
          </w:p>
        </w:tc>
        <w:tc>
          <w:tcPr>
            <w:tcW w:w="849" w:type="dxa"/>
            <w:shd w:val="clear" w:color="auto" w:fill="auto"/>
          </w:tcPr>
          <w:p w:rsidR="00B14658" w:rsidRPr="00AB6779" w:rsidRDefault="00B14658" w:rsidP="00A245D1">
            <w:pPr>
              <w:jc w:val="center"/>
              <w:rPr>
                <w:rFonts w:ascii="Times New Roman" w:hAnsi="Times New Roman" w:cs="Times New Roman"/>
                <w:sz w:val="24"/>
                <w:szCs w:val="24"/>
              </w:rPr>
            </w:pPr>
          </w:p>
        </w:tc>
      </w:tr>
      <w:tr w:rsidR="00B14658" w:rsidRPr="00477F96" w:rsidTr="00A245D1">
        <w:trPr>
          <w:trHeight w:val="340"/>
          <w:jc w:val="center"/>
        </w:trPr>
        <w:tc>
          <w:tcPr>
            <w:tcW w:w="1987" w:type="dxa"/>
            <w:shd w:val="clear" w:color="auto" w:fill="auto"/>
          </w:tcPr>
          <w:p w:rsidR="00B14658" w:rsidRPr="00AB6779" w:rsidRDefault="00B14658" w:rsidP="00477F96">
            <w:pPr>
              <w:rPr>
                <w:rFonts w:ascii="Times New Roman" w:hAnsi="Times New Roman" w:cs="Times New Roman"/>
                <w:sz w:val="24"/>
                <w:szCs w:val="24"/>
              </w:rPr>
            </w:pPr>
            <w:r w:rsidRPr="00AB6779">
              <w:rPr>
                <w:rFonts w:ascii="Times New Roman" w:hAnsi="Times New Roman" w:cs="Times New Roman"/>
                <w:sz w:val="24"/>
                <w:szCs w:val="24"/>
              </w:rPr>
              <w:t>Chapter Three:</w:t>
            </w:r>
          </w:p>
        </w:tc>
        <w:tc>
          <w:tcPr>
            <w:tcW w:w="6236" w:type="dxa"/>
            <w:shd w:val="clear" w:color="auto" w:fill="auto"/>
            <w:vAlign w:val="center"/>
          </w:tcPr>
          <w:p w:rsidR="00B14658" w:rsidRPr="00AB6779" w:rsidRDefault="00B14658" w:rsidP="00477F96">
            <w:pPr>
              <w:rPr>
                <w:rFonts w:ascii="Times New Roman" w:hAnsi="Times New Roman" w:cs="Times New Roman"/>
                <w:b/>
                <w:bCs/>
                <w:sz w:val="24"/>
                <w:szCs w:val="24"/>
              </w:rPr>
            </w:pPr>
            <w:r w:rsidRPr="00AB6779">
              <w:rPr>
                <w:rFonts w:ascii="Times New Roman" w:hAnsi="Times New Roman" w:cs="Times New Roman"/>
                <w:b/>
                <w:bCs/>
                <w:sz w:val="24"/>
                <w:szCs w:val="24"/>
              </w:rPr>
              <w:t>Financial Sector</w:t>
            </w:r>
            <w:r w:rsidR="00AE1CD5">
              <w:rPr>
                <w:rFonts w:ascii="Times New Roman" w:hAnsi="Times New Roman" w:cs="Times New Roman"/>
                <w:b/>
                <w:bCs/>
                <w:sz w:val="24"/>
                <w:szCs w:val="24"/>
              </w:rPr>
              <w:t xml:space="preserve"> 2018</w:t>
            </w:r>
          </w:p>
        </w:tc>
        <w:tc>
          <w:tcPr>
            <w:tcW w:w="849" w:type="dxa"/>
            <w:shd w:val="clear" w:color="auto" w:fill="auto"/>
          </w:tcPr>
          <w:p w:rsidR="00B14658" w:rsidRPr="00AB6779" w:rsidRDefault="00B868A9" w:rsidP="00A245D1">
            <w:pPr>
              <w:jc w:val="center"/>
              <w:rPr>
                <w:rFonts w:ascii="Times New Roman" w:hAnsi="Times New Roman" w:cs="Times New Roman"/>
                <w:b/>
                <w:bCs/>
                <w:sz w:val="24"/>
                <w:szCs w:val="24"/>
              </w:rPr>
            </w:pPr>
            <w:r>
              <w:rPr>
                <w:rFonts w:ascii="Times New Roman" w:hAnsi="Times New Roman" w:cs="Times New Roman"/>
                <w:b/>
                <w:bCs/>
                <w:sz w:val="24"/>
                <w:szCs w:val="24"/>
              </w:rPr>
              <w:t>35</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A242A8" w:rsidP="00477F96">
            <w:pPr>
              <w:rPr>
                <w:rFonts w:ascii="Times New Roman" w:hAnsi="Times New Roman" w:cs="Times New Roman"/>
                <w:sz w:val="24"/>
                <w:szCs w:val="24"/>
              </w:rPr>
            </w:pPr>
            <w:r w:rsidRPr="00AB6779">
              <w:rPr>
                <w:rFonts w:ascii="Times New Roman" w:hAnsi="Times New Roman" w:cs="Times New Roman"/>
                <w:sz w:val="24"/>
                <w:szCs w:val="24"/>
              </w:rPr>
              <w:t xml:space="preserve">3.1 </w:t>
            </w:r>
            <w:r w:rsidR="00B14658" w:rsidRPr="00AB6779">
              <w:rPr>
                <w:rFonts w:ascii="Times New Roman" w:hAnsi="Times New Roman" w:cs="Times New Roman"/>
                <w:sz w:val="24"/>
                <w:szCs w:val="24"/>
              </w:rPr>
              <w:t>Deposits</w:t>
            </w:r>
          </w:p>
        </w:tc>
        <w:tc>
          <w:tcPr>
            <w:tcW w:w="849" w:type="dxa"/>
            <w:shd w:val="clear" w:color="auto" w:fill="auto"/>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36</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A242A8" w:rsidP="00477F96">
            <w:pPr>
              <w:rPr>
                <w:rFonts w:ascii="Times New Roman" w:hAnsi="Times New Roman" w:cs="Times New Roman"/>
                <w:sz w:val="24"/>
                <w:szCs w:val="24"/>
              </w:rPr>
            </w:pPr>
            <w:r w:rsidRPr="00AB6779">
              <w:rPr>
                <w:rFonts w:ascii="Times New Roman" w:hAnsi="Times New Roman" w:cs="Times New Roman"/>
                <w:sz w:val="24"/>
                <w:szCs w:val="24"/>
              </w:rPr>
              <w:t xml:space="preserve">3.2 </w:t>
            </w:r>
            <w:r w:rsidR="00B14658" w:rsidRPr="00AB6779">
              <w:rPr>
                <w:rFonts w:ascii="Times New Roman" w:hAnsi="Times New Roman" w:cs="Times New Roman"/>
                <w:sz w:val="24"/>
                <w:szCs w:val="24"/>
              </w:rPr>
              <w:t>Credit Facilities</w:t>
            </w:r>
          </w:p>
        </w:tc>
        <w:tc>
          <w:tcPr>
            <w:tcW w:w="849" w:type="dxa"/>
            <w:shd w:val="clear" w:color="auto" w:fill="auto"/>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37</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A242A8" w:rsidP="00477F96">
            <w:pPr>
              <w:rPr>
                <w:rFonts w:ascii="Times New Roman" w:hAnsi="Times New Roman" w:cs="Times New Roman"/>
                <w:sz w:val="24"/>
                <w:szCs w:val="24"/>
              </w:rPr>
            </w:pPr>
            <w:r w:rsidRPr="00AB6779">
              <w:rPr>
                <w:rFonts w:ascii="Times New Roman" w:hAnsi="Times New Roman" w:cs="Times New Roman"/>
                <w:sz w:val="24"/>
                <w:szCs w:val="24"/>
              </w:rPr>
              <w:t xml:space="preserve">3.3 </w:t>
            </w:r>
            <w:r w:rsidR="00B14658" w:rsidRPr="00AB6779">
              <w:rPr>
                <w:rFonts w:ascii="Times New Roman" w:hAnsi="Times New Roman" w:cs="Times New Roman"/>
                <w:sz w:val="24"/>
                <w:szCs w:val="24"/>
              </w:rPr>
              <w:t>Cheques</w:t>
            </w:r>
          </w:p>
        </w:tc>
        <w:tc>
          <w:tcPr>
            <w:tcW w:w="849" w:type="dxa"/>
            <w:shd w:val="clear" w:color="auto" w:fill="auto"/>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37</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736290" w:rsidRPr="00AB6779" w:rsidRDefault="00A242A8" w:rsidP="00736290">
            <w:pPr>
              <w:rPr>
                <w:rFonts w:ascii="Times New Roman" w:hAnsi="Times New Roman" w:cs="Times New Roman"/>
                <w:sz w:val="24"/>
                <w:szCs w:val="24"/>
              </w:rPr>
            </w:pPr>
            <w:r w:rsidRPr="00AB6779">
              <w:rPr>
                <w:rFonts w:ascii="Times New Roman" w:hAnsi="Times New Roman" w:cs="Times New Roman"/>
                <w:sz w:val="24"/>
                <w:szCs w:val="24"/>
              </w:rPr>
              <w:t xml:space="preserve">3.4 </w:t>
            </w:r>
            <w:r w:rsidR="00B14658" w:rsidRPr="00AB6779">
              <w:rPr>
                <w:rFonts w:ascii="Times New Roman" w:hAnsi="Times New Roman" w:cs="Times New Roman"/>
                <w:sz w:val="24"/>
                <w:szCs w:val="24"/>
              </w:rPr>
              <w:t>Interest Rate</w:t>
            </w:r>
          </w:p>
        </w:tc>
        <w:tc>
          <w:tcPr>
            <w:tcW w:w="849" w:type="dxa"/>
            <w:shd w:val="clear" w:color="auto" w:fill="auto"/>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38</w:t>
            </w:r>
          </w:p>
        </w:tc>
      </w:tr>
      <w:tr w:rsidR="00B14658" w:rsidRPr="00A245D1" w:rsidTr="00A245D1">
        <w:trPr>
          <w:trHeight w:hRule="exact" w:val="70"/>
          <w:jc w:val="center"/>
        </w:trPr>
        <w:tc>
          <w:tcPr>
            <w:tcW w:w="1987" w:type="dxa"/>
            <w:shd w:val="clear" w:color="auto" w:fill="auto"/>
          </w:tcPr>
          <w:p w:rsidR="00B14658" w:rsidRPr="00A245D1" w:rsidRDefault="00B14658" w:rsidP="00477F96">
            <w:pPr>
              <w:rPr>
                <w:rFonts w:ascii="Times New Roman" w:hAnsi="Times New Roman" w:cs="Times New Roman"/>
              </w:rPr>
            </w:pPr>
          </w:p>
        </w:tc>
        <w:tc>
          <w:tcPr>
            <w:tcW w:w="6236" w:type="dxa"/>
            <w:shd w:val="clear" w:color="auto" w:fill="auto"/>
          </w:tcPr>
          <w:p w:rsidR="00B14658" w:rsidRPr="00A245D1" w:rsidRDefault="00B14658" w:rsidP="00477F96">
            <w:pPr>
              <w:rPr>
                <w:rFonts w:ascii="Times New Roman" w:hAnsi="Times New Roman" w:cs="Times New Roman"/>
              </w:rPr>
            </w:pPr>
          </w:p>
        </w:tc>
        <w:tc>
          <w:tcPr>
            <w:tcW w:w="849" w:type="dxa"/>
            <w:shd w:val="clear" w:color="auto" w:fill="auto"/>
          </w:tcPr>
          <w:p w:rsidR="00B14658" w:rsidRPr="00A245D1" w:rsidRDefault="00B14658" w:rsidP="00A245D1">
            <w:pPr>
              <w:jc w:val="center"/>
              <w:rPr>
                <w:rFonts w:ascii="Times New Roman" w:hAnsi="Times New Roman" w:cs="Times New Roman"/>
                <w:b/>
                <w:bCs/>
              </w:rPr>
            </w:pPr>
          </w:p>
        </w:tc>
      </w:tr>
      <w:tr w:rsidR="00B14658" w:rsidRPr="00477F96" w:rsidTr="00A245D1">
        <w:trPr>
          <w:trHeight w:val="340"/>
          <w:jc w:val="center"/>
        </w:trPr>
        <w:tc>
          <w:tcPr>
            <w:tcW w:w="1987" w:type="dxa"/>
            <w:shd w:val="clear" w:color="auto" w:fill="auto"/>
          </w:tcPr>
          <w:p w:rsidR="00B14658" w:rsidRPr="00AB6779" w:rsidRDefault="00B14658" w:rsidP="00477F96">
            <w:pPr>
              <w:rPr>
                <w:rFonts w:ascii="Times New Roman" w:hAnsi="Times New Roman" w:cs="Times New Roman"/>
                <w:sz w:val="24"/>
                <w:szCs w:val="24"/>
              </w:rPr>
            </w:pPr>
            <w:r w:rsidRPr="00AB6779">
              <w:rPr>
                <w:rFonts w:ascii="Times New Roman" w:hAnsi="Times New Roman" w:cs="Times New Roman"/>
                <w:sz w:val="24"/>
                <w:szCs w:val="24"/>
              </w:rPr>
              <w:t>Chapter Four:</w:t>
            </w:r>
          </w:p>
        </w:tc>
        <w:tc>
          <w:tcPr>
            <w:tcW w:w="6236" w:type="dxa"/>
            <w:shd w:val="clear" w:color="auto" w:fill="auto"/>
            <w:vAlign w:val="center"/>
          </w:tcPr>
          <w:p w:rsidR="00B14658" w:rsidRPr="00AB6779" w:rsidRDefault="00B14658" w:rsidP="00477F96">
            <w:pPr>
              <w:rPr>
                <w:rFonts w:ascii="Times New Roman" w:hAnsi="Times New Roman" w:cs="Times New Roman"/>
                <w:b/>
                <w:bCs/>
                <w:sz w:val="24"/>
                <w:szCs w:val="24"/>
              </w:rPr>
            </w:pPr>
            <w:r w:rsidRPr="00AB6779">
              <w:rPr>
                <w:rFonts w:ascii="Times New Roman" w:hAnsi="Times New Roman" w:cs="Times New Roman"/>
                <w:b/>
                <w:bCs/>
                <w:sz w:val="24"/>
                <w:szCs w:val="24"/>
              </w:rPr>
              <w:t>External Sector</w:t>
            </w:r>
            <w:r w:rsidR="00AE1CD5">
              <w:rPr>
                <w:rFonts w:ascii="Times New Roman" w:hAnsi="Times New Roman" w:cs="Times New Roman"/>
                <w:b/>
                <w:bCs/>
                <w:sz w:val="24"/>
                <w:szCs w:val="24"/>
              </w:rPr>
              <w:t xml:space="preserve"> 2018</w:t>
            </w:r>
          </w:p>
        </w:tc>
        <w:tc>
          <w:tcPr>
            <w:tcW w:w="849" w:type="dxa"/>
            <w:shd w:val="clear" w:color="auto" w:fill="auto"/>
          </w:tcPr>
          <w:p w:rsidR="00B14658" w:rsidRPr="00AB6779" w:rsidRDefault="00B868A9" w:rsidP="00A245D1">
            <w:pPr>
              <w:jc w:val="center"/>
              <w:rPr>
                <w:rFonts w:ascii="Times New Roman" w:hAnsi="Times New Roman" w:cs="Times New Roman"/>
                <w:b/>
                <w:bCs/>
                <w:sz w:val="24"/>
                <w:szCs w:val="24"/>
              </w:rPr>
            </w:pPr>
            <w:r>
              <w:rPr>
                <w:rFonts w:ascii="Times New Roman" w:hAnsi="Times New Roman" w:cs="Times New Roman"/>
                <w:b/>
                <w:bCs/>
                <w:sz w:val="24"/>
                <w:szCs w:val="24"/>
              </w:rPr>
              <w:t>39</w:t>
            </w:r>
          </w:p>
        </w:tc>
      </w:tr>
      <w:tr w:rsidR="00B14658" w:rsidRPr="00477F96" w:rsidTr="00A245D1">
        <w:trPr>
          <w:trHeight w:val="340"/>
          <w:jc w:val="center"/>
        </w:trPr>
        <w:tc>
          <w:tcPr>
            <w:tcW w:w="1987" w:type="dxa"/>
            <w:shd w:val="clear" w:color="auto" w:fill="auto"/>
          </w:tcPr>
          <w:p w:rsidR="00B14658" w:rsidRPr="00AB6779" w:rsidRDefault="00B14658" w:rsidP="00477F96">
            <w:pPr>
              <w:rPr>
                <w:rFonts w:ascii="Times New Roman" w:hAnsi="Times New Roman" w:cs="Times New Roman"/>
                <w:b/>
                <w:bCs/>
                <w:sz w:val="24"/>
                <w:szCs w:val="24"/>
              </w:rPr>
            </w:pPr>
          </w:p>
        </w:tc>
        <w:tc>
          <w:tcPr>
            <w:tcW w:w="6236" w:type="dxa"/>
            <w:shd w:val="clear" w:color="auto" w:fill="auto"/>
            <w:vAlign w:val="center"/>
          </w:tcPr>
          <w:p w:rsidR="00B14658" w:rsidRPr="00AB6779" w:rsidRDefault="00A242A8" w:rsidP="00477F96">
            <w:pPr>
              <w:rPr>
                <w:rFonts w:ascii="Times New Roman" w:hAnsi="Times New Roman" w:cs="Times New Roman"/>
                <w:sz w:val="24"/>
                <w:szCs w:val="24"/>
              </w:rPr>
            </w:pPr>
            <w:r w:rsidRPr="00AB6779">
              <w:rPr>
                <w:rFonts w:ascii="Times New Roman" w:hAnsi="Times New Roman" w:cs="Times New Roman"/>
                <w:sz w:val="24"/>
                <w:szCs w:val="24"/>
                <w:lang w:val="en-US"/>
              </w:rPr>
              <w:t xml:space="preserve">4.1 </w:t>
            </w:r>
            <w:r w:rsidR="00B14658" w:rsidRPr="00AB6779">
              <w:rPr>
                <w:rFonts w:ascii="Times New Roman" w:hAnsi="Times New Roman" w:cs="Times New Roman"/>
                <w:sz w:val="24"/>
                <w:szCs w:val="24"/>
              </w:rPr>
              <w:t>Balance of Payments</w:t>
            </w:r>
          </w:p>
        </w:tc>
        <w:tc>
          <w:tcPr>
            <w:tcW w:w="849" w:type="dxa"/>
            <w:shd w:val="clear" w:color="auto" w:fill="auto"/>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40</w:t>
            </w:r>
          </w:p>
        </w:tc>
      </w:tr>
      <w:tr w:rsidR="00B14658" w:rsidRPr="00477F96" w:rsidTr="00A245D1">
        <w:trPr>
          <w:trHeight w:val="340"/>
          <w:jc w:val="center"/>
        </w:trPr>
        <w:tc>
          <w:tcPr>
            <w:tcW w:w="1987" w:type="dxa"/>
            <w:shd w:val="clear" w:color="auto" w:fill="auto"/>
          </w:tcPr>
          <w:p w:rsidR="00B14658" w:rsidRPr="00AB6779" w:rsidRDefault="00B14658" w:rsidP="00477F96">
            <w:pPr>
              <w:rPr>
                <w:rFonts w:ascii="Times New Roman" w:hAnsi="Times New Roman" w:cs="Times New Roman"/>
                <w:b/>
                <w:bCs/>
                <w:sz w:val="24"/>
                <w:szCs w:val="24"/>
              </w:rPr>
            </w:pPr>
          </w:p>
        </w:tc>
        <w:tc>
          <w:tcPr>
            <w:tcW w:w="6236" w:type="dxa"/>
            <w:shd w:val="clear" w:color="auto" w:fill="auto"/>
            <w:vAlign w:val="center"/>
          </w:tcPr>
          <w:p w:rsidR="00B14658" w:rsidRPr="00AB6779" w:rsidRDefault="00A242A8" w:rsidP="00A242A8">
            <w:pPr>
              <w:tabs>
                <w:tab w:val="left" w:pos="273"/>
              </w:tabs>
              <w:rPr>
                <w:rFonts w:ascii="Times New Roman" w:hAnsi="Times New Roman" w:cs="Times New Roman"/>
                <w:sz w:val="24"/>
                <w:szCs w:val="24"/>
              </w:rPr>
            </w:pPr>
            <w:r w:rsidRPr="00AB6779">
              <w:rPr>
                <w:rFonts w:ascii="Times New Roman" w:hAnsi="Times New Roman" w:cs="Times New Roman"/>
                <w:sz w:val="24"/>
                <w:szCs w:val="24"/>
              </w:rPr>
              <w:t xml:space="preserve">4.2 </w:t>
            </w:r>
            <w:r w:rsidR="00B14658" w:rsidRPr="00AB6779">
              <w:rPr>
                <w:rFonts w:ascii="Times New Roman" w:hAnsi="Times New Roman" w:cs="Times New Roman"/>
                <w:sz w:val="24"/>
                <w:szCs w:val="24"/>
              </w:rPr>
              <w:t xml:space="preserve"> International Investment Position (IIP)</w:t>
            </w:r>
          </w:p>
        </w:tc>
        <w:tc>
          <w:tcPr>
            <w:tcW w:w="849" w:type="dxa"/>
            <w:shd w:val="clear" w:color="auto" w:fill="auto"/>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43</w:t>
            </w:r>
          </w:p>
        </w:tc>
      </w:tr>
      <w:tr w:rsidR="00B14658" w:rsidRPr="00477F96" w:rsidTr="00A245D1">
        <w:trPr>
          <w:trHeight w:val="340"/>
          <w:jc w:val="center"/>
        </w:trPr>
        <w:tc>
          <w:tcPr>
            <w:tcW w:w="1987" w:type="dxa"/>
            <w:shd w:val="clear" w:color="auto" w:fill="auto"/>
          </w:tcPr>
          <w:p w:rsidR="00B14658" w:rsidRPr="00AB6779" w:rsidRDefault="00B14658" w:rsidP="00477F96">
            <w:pPr>
              <w:rPr>
                <w:rFonts w:ascii="Times New Roman" w:hAnsi="Times New Roman" w:cs="Times New Roman"/>
                <w:b/>
                <w:bCs/>
                <w:sz w:val="24"/>
                <w:szCs w:val="24"/>
              </w:rPr>
            </w:pPr>
          </w:p>
        </w:tc>
        <w:tc>
          <w:tcPr>
            <w:tcW w:w="6236" w:type="dxa"/>
            <w:shd w:val="clear" w:color="auto" w:fill="auto"/>
            <w:vAlign w:val="center"/>
          </w:tcPr>
          <w:p w:rsidR="00B14658" w:rsidRPr="00AB6779" w:rsidRDefault="00362583" w:rsidP="00A242A8">
            <w:pPr>
              <w:rPr>
                <w:rFonts w:ascii="Times New Roman" w:hAnsi="Times New Roman" w:cs="Times New Roman"/>
                <w:sz w:val="24"/>
                <w:szCs w:val="24"/>
              </w:rPr>
            </w:pPr>
            <w:r>
              <w:rPr>
                <w:rFonts w:ascii="Times New Roman" w:hAnsi="Times New Roman" w:cs="Times New Roman"/>
                <w:sz w:val="24"/>
                <w:szCs w:val="24"/>
              </w:rPr>
              <w:t xml:space="preserve">      </w:t>
            </w:r>
            <w:r w:rsidR="00A242A8" w:rsidRPr="00AB6779">
              <w:rPr>
                <w:rFonts w:ascii="Times New Roman" w:hAnsi="Times New Roman" w:cs="Times New Roman"/>
                <w:sz w:val="24"/>
                <w:szCs w:val="24"/>
              </w:rPr>
              <w:t xml:space="preserve"> 4.2.1</w:t>
            </w:r>
            <w:r w:rsidR="00B14658" w:rsidRPr="00AB6779">
              <w:rPr>
                <w:rFonts w:ascii="Times New Roman" w:hAnsi="Times New Roman" w:cs="Times New Roman"/>
                <w:sz w:val="24"/>
                <w:szCs w:val="24"/>
              </w:rPr>
              <w:t>Total External Assets</w:t>
            </w:r>
          </w:p>
        </w:tc>
        <w:tc>
          <w:tcPr>
            <w:tcW w:w="849" w:type="dxa"/>
            <w:shd w:val="clear" w:color="auto" w:fill="auto"/>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43</w:t>
            </w:r>
          </w:p>
        </w:tc>
      </w:tr>
      <w:tr w:rsidR="00B14658" w:rsidRPr="00477F96" w:rsidTr="00A245D1">
        <w:trPr>
          <w:trHeight w:val="340"/>
          <w:jc w:val="center"/>
        </w:trPr>
        <w:tc>
          <w:tcPr>
            <w:tcW w:w="1987" w:type="dxa"/>
            <w:shd w:val="clear" w:color="auto" w:fill="auto"/>
          </w:tcPr>
          <w:p w:rsidR="00B14658" w:rsidRPr="00AB6779" w:rsidRDefault="00B14658" w:rsidP="00477F96">
            <w:pPr>
              <w:rPr>
                <w:rFonts w:ascii="Times New Roman" w:hAnsi="Times New Roman" w:cs="Times New Roman"/>
                <w:b/>
                <w:bCs/>
                <w:sz w:val="24"/>
                <w:szCs w:val="24"/>
              </w:rPr>
            </w:pPr>
          </w:p>
        </w:tc>
        <w:tc>
          <w:tcPr>
            <w:tcW w:w="6236" w:type="dxa"/>
            <w:shd w:val="clear" w:color="auto" w:fill="auto"/>
            <w:vAlign w:val="center"/>
          </w:tcPr>
          <w:p w:rsidR="00B14658" w:rsidRPr="00AB6779" w:rsidRDefault="00362583" w:rsidP="00A242A8">
            <w:pPr>
              <w:rPr>
                <w:rFonts w:ascii="Times New Roman" w:hAnsi="Times New Roman" w:cs="Times New Roman"/>
                <w:sz w:val="24"/>
                <w:szCs w:val="24"/>
              </w:rPr>
            </w:pPr>
            <w:r>
              <w:rPr>
                <w:rFonts w:ascii="Times New Roman" w:hAnsi="Times New Roman" w:cs="Times New Roman"/>
                <w:sz w:val="24"/>
                <w:szCs w:val="24"/>
              </w:rPr>
              <w:t xml:space="preserve">       </w:t>
            </w:r>
            <w:r w:rsidR="00A242A8" w:rsidRPr="00AB6779">
              <w:rPr>
                <w:rFonts w:ascii="Times New Roman" w:hAnsi="Times New Roman" w:cs="Times New Roman"/>
                <w:sz w:val="24"/>
                <w:szCs w:val="24"/>
              </w:rPr>
              <w:t xml:space="preserve">4.2.2 </w:t>
            </w:r>
            <w:r w:rsidR="00B14658" w:rsidRPr="00AB6779">
              <w:rPr>
                <w:rFonts w:ascii="Times New Roman" w:hAnsi="Times New Roman" w:cs="Times New Roman"/>
                <w:sz w:val="24"/>
                <w:szCs w:val="24"/>
              </w:rPr>
              <w:t>Total Foreign Liabilities</w:t>
            </w:r>
          </w:p>
        </w:tc>
        <w:tc>
          <w:tcPr>
            <w:tcW w:w="849" w:type="dxa"/>
            <w:shd w:val="clear" w:color="auto" w:fill="auto"/>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44</w:t>
            </w:r>
          </w:p>
        </w:tc>
      </w:tr>
      <w:tr w:rsidR="00B14658" w:rsidRPr="00477F96" w:rsidTr="00A245D1">
        <w:trPr>
          <w:trHeight w:val="340"/>
          <w:jc w:val="center"/>
        </w:trPr>
        <w:tc>
          <w:tcPr>
            <w:tcW w:w="1987" w:type="dxa"/>
            <w:shd w:val="clear" w:color="auto" w:fill="auto"/>
          </w:tcPr>
          <w:p w:rsidR="00B14658" w:rsidRPr="00AB6779" w:rsidRDefault="00B14658" w:rsidP="00477F96">
            <w:pPr>
              <w:ind w:left="250"/>
              <w:rPr>
                <w:rFonts w:ascii="Times New Roman" w:hAnsi="Times New Roman" w:cs="Times New Roman"/>
                <w:sz w:val="24"/>
                <w:szCs w:val="24"/>
              </w:rPr>
            </w:pPr>
          </w:p>
        </w:tc>
        <w:tc>
          <w:tcPr>
            <w:tcW w:w="6236" w:type="dxa"/>
            <w:shd w:val="clear" w:color="auto" w:fill="auto"/>
            <w:vAlign w:val="center"/>
          </w:tcPr>
          <w:p w:rsidR="00B14658" w:rsidRPr="00AB6779" w:rsidRDefault="00A242A8" w:rsidP="00477F96">
            <w:pPr>
              <w:rPr>
                <w:rFonts w:ascii="Times New Roman" w:hAnsi="Times New Roman" w:cs="Times New Roman"/>
                <w:sz w:val="24"/>
                <w:szCs w:val="24"/>
              </w:rPr>
            </w:pPr>
            <w:r w:rsidRPr="00AB6779">
              <w:rPr>
                <w:rFonts w:ascii="Times New Roman" w:hAnsi="Times New Roman" w:cs="Times New Roman"/>
                <w:sz w:val="24"/>
                <w:szCs w:val="24"/>
              </w:rPr>
              <w:t xml:space="preserve">4.3 </w:t>
            </w:r>
            <w:r w:rsidR="00B14658" w:rsidRPr="00AB6779">
              <w:rPr>
                <w:rFonts w:ascii="Times New Roman" w:hAnsi="Times New Roman" w:cs="Times New Roman"/>
                <w:sz w:val="24"/>
                <w:szCs w:val="24"/>
              </w:rPr>
              <w:t>External Debt</w:t>
            </w:r>
          </w:p>
        </w:tc>
        <w:tc>
          <w:tcPr>
            <w:tcW w:w="849" w:type="dxa"/>
            <w:shd w:val="clear" w:color="auto" w:fill="auto"/>
            <w:vAlign w:val="center"/>
          </w:tcPr>
          <w:p w:rsidR="00B14658" w:rsidRPr="00AB6779" w:rsidRDefault="00B868A9" w:rsidP="00A245D1">
            <w:pPr>
              <w:jc w:val="center"/>
              <w:rPr>
                <w:rFonts w:ascii="Times New Roman" w:hAnsi="Times New Roman" w:cs="Times New Roman"/>
                <w:sz w:val="24"/>
                <w:szCs w:val="24"/>
              </w:rPr>
            </w:pPr>
            <w:r>
              <w:rPr>
                <w:rFonts w:ascii="Times New Roman" w:hAnsi="Times New Roman" w:cs="Times New Roman"/>
                <w:sz w:val="24"/>
                <w:szCs w:val="24"/>
              </w:rPr>
              <w:t>44</w:t>
            </w:r>
          </w:p>
        </w:tc>
      </w:tr>
    </w:tbl>
    <w:p w:rsidR="00B14658" w:rsidRPr="00477F96" w:rsidRDefault="00B14658" w:rsidP="00477F96">
      <w:pPr>
        <w:spacing w:after="0" w:line="240" w:lineRule="auto"/>
        <w:rPr>
          <w:rFonts w:ascii="Times New Roman" w:hAnsi="Times New Roman" w:cs="Times New Roman"/>
        </w:rPr>
      </w:pPr>
    </w:p>
    <w:p w:rsidR="00B14658" w:rsidRPr="00477F96" w:rsidRDefault="00B14658" w:rsidP="00477F96">
      <w:pPr>
        <w:spacing w:after="0" w:line="240" w:lineRule="auto"/>
        <w:rPr>
          <w:rFonts w:ascii="Times New Roman" w:hAnsi="Times New Roman" w:cs="Times New Roman"/>
        </w:rPr>
      </w:pPr>
    </w:p>
    <w:p w:rsidR="00B14658" w:rsidRPr="00477F96" w:rsidRDefault="00B14658" w:rsidP="00477F96">
      <w:pPr>
        <w:spacing w:after="0" w:line="240" w:lineRule="auto"/>
        <w:rPr>
          <w:rFonts w:ascii="Times New Roman" w:hAnsi="Times New Roman" w:cs="Times New Roman"/>
        </w:rPr>
      </w:pPr>
      <w:r w:rsidRPr="00477F96">
        <w:rPr>
          <w:rFonts w:ascii="Times New Roman" w:hAnsi="Times New Roman" w:cs="Times New Roman"/>
        </w:rPr>
        <w:br w:type="page"/>
      </w:r>
    </w:p>
    <w:p w:rsidR="00CD4514" w:rsidRPr="00477F96" w:rsidRDefault="00CD4514" w:rsidP="00A405D5">
      <w:pPr>
        <w:shd w:val="clear" w:color="auto" w:fill="FFFFFF" w:themeFill="background1"/>
        <w:spacing w:after="0" w:line="240" w:lineRule="auto"/>
        <w:jc w:val="center"/>
        <w:rPr>
          <w:rFonts w:ascii="Times New Roman" w:hAnsi="Times New Roman" w:cs="Times New Roman"/>
          <w:b/>
          <w:bCs/>
          <w:sz w:val="28"/>
          <w:szCs w:val="28"/>
        </w:rPr>
      </w:pPr>
      <w:r w:rsidRPr="00477F96">
        <w:rPr>
          <w:rFonts w:ascii="Times New Roman" w:hAnsi="Times New Roman" w:cs="Times New Roman"/>
          <w:b/>
          <w:bCs/>
          <w:sz w:val="28"/>
          <w:szCs w:val="28"/>
        </w:rPr>
        <w:lastRenderedPageBreak/>
        <w:t>List of Tables</w:t>
      </w:r>
    </w:p>
    <w:p w:rsidR="00CD4514" w:rsidRPr="00477F96" w:rsidRDefault="00CD4514" w:rsidP="00477F96">
      <w:pPr>
        <w:spacing w:after="0" w:line="240" w:lineRule="auto"/>
        <w:jc w:val="center"/>
        <w:rPr>
          <w:rFonts w:ascii="Times New Roman" w:hAnsi="Times New Roman" w:cs="Times New Roman"/>
          <w:b/>
          <w:bCs/>
          <w:sz w:val="24"/>
          <w:szCs w:val="24"/>
          <w:rtl/>
        </w:rPr>
      </w:pPr>
    </w:p>
    <w:tbl>
      <w:tblPr>
        <w:tblStyle w:val="TableGrid"/>
        <w:tblW w:w="90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39"/>
        <w:gridCol w:w="6563"/>
        <w:gridCol w:w="1213"/>
      </w:tblGrid>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jc w:val="center"/>
              <w:rPr>
                <w:rFonts w:ascii="Times New Roman" w:hAnsi="Times New Roman" w:cs="Times New Roman"/>
                <w:b/>
                <w:bCs/>
                <w:sz w:val="24"/>
                <w:szCs w:val="24"/>
              </w:rPr>
            </w:pPr>
            <w:r w:rsidRPr="00477F96">
              <w:rPr>
                <w:rFonts w:ascii="Times New Roman" w:hAnsi="Times New Roman" w:cs="Times New Roman"/>
                <w:b/>
                <w:bCs/>
                <w:sz w:val="24"/>
                <w:szCs w:val="24"/>
              </w:rPr>
              <w:t>Page</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b/>
                <w:bCs/>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jc w:val="cente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1:</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 xml:space="preserve">Main Economic Indicators by region, </w:t>
            </w:r>
            <w:r w:rsidRPr="00477F96">
              <w:rPr>
                <w:rFonts w:ascii="Times New Roman" w:hAnsi="Times New Roman" w:cs="Times New Roman"/>
                <w:sz w:val="24"/>
                <w:szCs w:val="24"/>
                <w:rtl/>
                <w:lang w:eastAsia="ar-SA"/>
              </w:rPr>
              <w:t>2013</w:t>
            </w:r>
            <w:r w:rsidR="00EF105D">
              <w:rPr>
                <w:rFonts w:ascii="Times New Roman" w:hAnsi="Times New Roman" w:cs="Times New Roman"/>
                <w:sz w:val="24"/>
                <w:szCs w:val="24"/>
                <w:lang w:eastAsia="ar-SA"/>
              </w:rPr>
              <w:t>-</w:t>
            </w:r>
            <w:r w:rsidRPr="00477F96">
              <w:rPr>
                <w:rFonts w:ascii="Times New Roman" w:hAnsi="Times New Roman" w:cs="Times New Roman"/>
                <w:sz w:val="24"/>
                <w:szCs w:val="24"/>
                <w:rtl/>
                <w:lang w:eastAsia="ar-SA"/>
              </w:rPr>
              <w:t>2018</w:t>
            </w:r>
            <w:r w:rsidRPr="00477F96">
              <w:rPr>
                <w:rFonts w:ascii="Times New Roman" w:hAnsi="Times New Roman" w:cs="Times New Roman"/>
                <w:sz w:val="24"/>
                <w:szCs w:val="24"/>
                <w:lang w:eastAsia="ar-SA"/>
              </w:rPr>
              <w:t xml:space="preserve"> at constant prices: base year </w:t>
            </w:r>
            <w:r w:rsidRPr="00477F96">
              <w:rPr>
                <w:rFonts w:ascii="Times New Roman" w:hAnsi="Times New Roman" w:cs="Times New Roman"/>
                <w:sz w:val="24"/>
                <w:szCs w:val="24"/>
                <w:rtl/>
                <w:lang w:eastAsia="ar-SA"/>
              </w:rPr>
              <w:t>2015</w:t>
            </w:r>
          </w:p>
        </w:tc>
        <w:tc>
          <w:tcPr>
            <w:tcW w:w="673" w:type="pct"/>
          </w:tcPr>
          <w:p w:rsidR="00477F96" w:rsidRPr="00477F96" w:rsidRDefault="00477F96" w:rsidP="00477F96">
            <w:pPr>
              <w:jc w:val="center"/>
              <w:rPr>
                <w:rFonts w:ascii="Times New Roman" w:hAnsi="Times New Roman" w:cs="Times New Roman"/>
                <w:b/>
                <w:bCs/>
                <w:sz w:val="24"/>
                <w:szCs w:val="24"/>
              </w:rPr>
            </w:pPr>
            <w:r w:rsidRPr="00477F96">
              <w:rPr>
                <w:rFonts w:ascii="Times New Roman" w:hAnsi="Times New Roman" w:cs="Times New Roman"/>
                <w:b/>
                <w:bCs/>
                <w:sz w:val="24"/>
                <w:szCs w:val="24"/>
              </w:rPr>
              <w:t>15</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jc w:val="both"/>
              <w:rPr>
                <w:rFonts w:ascii="Times New Roman" w:hAnsi="Times New Roman" w:cs="Times New Roman"/>
                <w:sz w:val="24"/>
                <w:szCs w:val="24"/>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2:</w:t>
            </w:r>
          </w:p>
        </w:tc>
        <w:tc>
          <w:tcPr>
            <w:tcW w:w="3640" w:type="pct"/>
          </w:tcPr>
          <w:p w:rsidR="00477F96" w:rsidRPr="00477F96" w:rsidRDefault="00477F96" w:rsidP="0034561B">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 xml:space="preserve">Value added of main economic activities by region </w:t>
            </w:r>
            <w:r w:rsidR="0034561B">
              <w:rPr>
                <w:rFonts w:ascii="Times New Roman" w:hAnsi="Times New Roman" w:cs="Times New Roman"/>
                <w:sz w:val="24"/>
                <w:szCs w:val="24"/>
                <w:lang w:eastAsia="ar-SA"/>
              </w:rPr>
              <w:t xml:space="preserve"> 2013</w:t>
            </w:r>
            <w:r w:rsidR="00EF105D">
              <w:rPr>
                <w:rFonts w:ascii="Times New Roman" w:hAnsi="Times New Roman" w:cs="Times New Roman"/>
                <w:sz w:val="24"/>
                <w:szCs w:val="24"/>
                <w:lang w:eastAsia="ar-SA"/>
              </w:rPr>
              <w:t>-</w:t>
            </w:r>
            <w:r w:rsidRPr="00477F96">
              <w:rPr>
                <w:rFonts w:ascii="Times New Roman" w:hAnsi="Times New Roman" w:cs="Times New Roman"/>
                <w:sz w:val="24"/>
                <w:szCs w:val="24"/>
                <w:lang w:eastAsia="ar-SA"/>
              </w:rPr>
              <w:t>2018, at constant prices: base year 2015</w:t>
            </w:r>
          </w:p>
        </w:tc>
        <w:tc>
          <w:tcPr>
            <w:tcW w:w="673" w:type="pct"/>
          </w:tcPr>
          <w:p w:rsidR="00477F96" w:rsidRPr="00477F96" w:rsidRDefault="00477F96" w:rsidP="00477F96">
            <w:pPr>
              <w:jc w:val="center"/>
              <w:rPr>
                <w:rFonts w:ascii="Times New Roman" w:hAnsi="Times New Roman" w:cs="Times New Roman"/>
                <w:b/>
                <w:bCs/>
                <w:sz w:val="24"/>
                <w:szCs w:val="24"/>
              </w:rPr>
            </w:pPr>
            <w:r w:rsidRPr="00477F96">
              <w:rPr>
                <w:rFonts w:ascii="Times New Roman" w:hAnsi="Times New Roman" w:cs="Times New Roman"/>
                <w:b/>
                <w:bCs/>
                <w:sz w:val="24"/>
                <w:szCs w:val="24"/>
              </w:rPr>
              <w:t>17</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3:</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roofErr w:type="spellStart"/>
            <w:r w:rsidRPr="00477F96">
              <w:rPr>
                <w:rFonts w:ascii="Times New Roman" w:hAnsi="Times New Roman" w:cs="Times New Roman"/>
                <w:sz w:val="24"/>
                <w:szCs w:val="24"/>
                <w:lang w:eastAsia="ar-SA"/>
              </w:rPr>
              <w:t>Labor</w:t>
            </w:r>
            <w:proofErr w:type="spellEnd"/>
            <w:r w:rsidRPr="00477F96">
              <w:rPr>
                <w:rFonts w:ascii="Times New Roman" w:hAnsi="Times New Roman" w:cs="Times New Roman"/>
                <w:sz w:val="24"/>
                <w:szCs w:val="24"/>
                <w:lang w:eastAsia="ar-SA"/>
              </w:rPr>
              <w:t xml:space="preserve"> market indicators for individuals aged 15 years and above by region, 2013-2018</w:t>
            </w:r>
          </w:p>
        </w:tc>
        <w:tc>
          <w:tcPr>
            <w:tcW w:w="673" w:type="pct"/>
          </w:tcPr>
          <w:p w:rsidR="00477F96" w:rsidRPr="00477F96" w:rsidRDefault="00477F96" w:rsidP="00477F96">
            <w:pPr>
              <w:jc w:val="center"/>
              <w:rPr>
                <w:rFonts w:ascii="Times New Roman" w:hAnsi="Times New Roman" w:cs="Times New Roman"/>
                <w:b/>
                <w:bCs/>
                <w:sz w:val="24"/>
                <w:szCs w:val="24"/>
              </w:rPr>
            </w:pPr>
            <w:r w:rsidRPr="00477F96">
              <w:rPr>
                <w:rFonts w:ascii="Times New Roman" w:hAnsi="Times New Roman" w:cs="Times New Roman"/>
                <w:b/>
                <w:bCs/>
                <w:sz w:val="24"/>
                <w:szCs w:val="24"/>
              </w:rPr>
              <w:t>19</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4:</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Number of employed persons by econ</w:t>
            </w:r>
            <w:r w:rsidR="00EF105D">
              <w:rPr>
                <w:rFonts w:ascii="Times New Roman" w:hAnsi="Times New Roman" w:cs="Times New Roman"/>
                <w:sz w:val="24"/>
                <w:szCs w:val="24"/>
                <w:lang w:eastAsia="ar-SA"/>
              </w:rPr>
              <w:t>omic activity and region, 2013-</w:t>
            </w:r>
            <w:r w:rsidRPr="00477F96">
              <w:rPr>
                <w:rFonts w:ascii="Times New Roman" w:hAnsi="Times New Roman" w:cs="Times New Roman"/>
                <w:sz w:val="24"/>
                <w:szCs w:val="24"/>
                <w:lang w:eastAsia="ar-SA"/>
              </w:rPr>
              <w:t>2018</w:t>
            </w:r>
          </w:p>
        </w:tc>
        <w:tc>
          <w:tcPr>
            <w:tcW w:w="673" w:type="pct"/>
          </w:tcPr>
          <w:p w:rsidR="00477F96" w:rsidRPr="00477F96" w:rsidRDefault="00477F96" w:rsidP="00477F96">
            <w:pPr>
              <w:jc w:val="center"/>
              <w:rPr>
                <w:rFonts w:ascii="Times New Roman" w:hAnsi="Times New Roman" w:cs="Times New Roman"/>
                <w:b/>
                <w:bCs/>
                <w:sz w:val="24"/>
                <w:szCs w:val="24"/>
                <w:rtl/>
              </w:rPr>
            </w:pPr>
            <w:r w:rsidRPr="00477F96">
              <w:rPr>
                <w:rFonts w:ascii="Times New Roman" w:hAnsi="Times New Roman" w:cs="Times New Roman"/>
                <w:b/>
                <w:bCs/>
                <w:sz w:val="24"/>
                <w:szCs w:val="24"/>
              </w:rPr>
              <w:t>21</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5:</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 xml:space="preserve">Average real daily wage by economic activity and region, </w:t>
            </w:r>
            <w:r w:rsidR="0034561B">
              <w:rPr>
                <w:rFonts w:ascii="Times New Roman" w:hAnsi="Times New Roman" w:cs="Times New Roman"/>
                <w:sz w:val="24"/>
                <w:szCs w:val="24"/>
                <w:lang w:eastAsia="ar-SA"/>
              </w:rPr>
              <w:t xml:space="preserve">   </w:t>
            </w:r>
            <w:r w:rsidR="00EF105D">
              <w:rPr>
                <w:rFonts w:ascii="Times New Roman" w:hAnsi="Times New Roman" w:cs="Times New Roman"/>
                <w:sz w:val="24"/>
                <w:szCs w:val="24"/>
                <w:lang w:eastAsia="ar-SA"/>
              </w:rPr>
              <w:t>2013-</w:t>
            </w:r>
            <w:r w:rsidRPr="00477F96">
              <w:rPr>
                <w:rFonts w:ascii="Times New Roman" w:hAnsi="Times New Roman" w:cs="Times New Roman"/>
                <w:sz w:val="24"/>
                <w:szCs w:val="24"/>
                <w:lang w:eastAsia="ar-SA"/>
              </w:rPr>
              <w:t>2018</w:t>
            </w:r>
          </w:p>
        </w:tc>
        <w:tc>
          <w:tcPr>
            <w:tcW w:w="673" w:type="pct"/>
          </w:tcPr>
          <w:p w:rsidR="00477F96" w:rsidRPr="00477F96" w:rsidRDefault="0015479D" w:rsidP="00477F96">
            <w:pPr>
              <w:jc w:val="center"/>
              <w:rPr>
                <w:rFonts w:ascii="Times New Roman" w:hAnsi="Times New Roman" w:cs="Times New Roman"/>
                <w:b/>
                <w:bCs/>
                <w:sz w:val="24"/>
                <w:szCs w:val="24"/>
                <w:rtl/>
              </w:rPr>
            </w:pPr>
            <w:r>
              <w:rPr>
                <w:rFonts w:ascii="Times New Roman" w:hAnsi="Times New Roman" w:cs="Times New Roman"/>
                <w:b/>
                <w:bCs/>
                <w:sz w:val="24"/>
                <w:szCs w:val="24"/>
              </w:rPr>
              <w:t>23</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6:</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Average value added per employed persons by economic activity and region,</w:t>
            </w:r>
            <w:r w:rsidRPr="00477F96">
              <w:rPr>
                <w:rFonts w:ascii="Times New Roman" w:hAnsi="Times New Roman" w:cs="Times New Roman"/>
                <w:sz w:val="24"/>
                <w:szCs w:val="24"/>
                <w:rtl/>
                <w:lang w:eastAsia="ar-SA"/>
              </w:rPr>
              <w:t xml:space="preserve"> </w:t>
            </w:r>
            <w:r w:rsidR="00EF105D">
              <w:rPr>
                <w:rFonts w:ascii="Times New Roman" w:hAnsi="Times New Roman" w:cs="Times New Roman"/>
                <w:sz w:val="24"/>
                <w:szCs w:val="24"/>
                <w:lang w:eastAsia="ar-SA"/>
              </w:rPr>
              <w:t>2013-</w:t>
            </w:r>
            <w:r w:rsidRPr="00477F96">
              <w:rPr>
                <w:rFonts w:ascii="Times New Roman" w:hAnsi="Times New Roman" w:cs="Times New Roman"/>
                <w:sz w:val="24"/>
                <w:szCs w:val="24"/>
                <w:lang w:eastAsia="ar-SA"/>
              </w:rPr>
              <w:t>2018</w:t>
            </w:r>
          </w:p>
        </w:tc>
        <w:tc>
          <w:tcPr>
            <w:tcW w:w="673" w:type="pct"/>
          </w:tcPr>
          <w:p w:rsidR="00477F96" w:rsidRPr="00477F96" w:rsidRDefault="0015479D" w:rsidP="00477F96">
            <w:pPr>
              <w:jc w:val="center"/>
              <w:rPr>
                <w:rFonts w:ascii="Times New Roman" w:hAnsi="Times New Roman" w:cs="Times New Roman"/>
                <w:b/>
                <w:bCs/>
                <w:sz w:val="24"/>
                <w:szCs w:val="24"/>
              </w:rPr>
            </w:pPr>
            <w:r>
              <w:rPr>
                <w:rFonts w:ascii="Times New Roman" w:hAnsi="Times New Roman" w:cs="Times New Roman"/>
                <w:b/>
                <w:bCs/>
                <w:sz w:val="24"/>
                <w:szCs w:val="24"/>
              </w:rPr>
              <w:t>25</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7:</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Average consumer price Index numbers for 2018 and relative weight by major groups of expenditure and region: base year 2010=100</w:t>
            </w:r>
          </w:p>
        </w:tc>
        <w:tc>
          <w:tcPr>
            <w:tcW w:w="673" w:type="pct"/>
          </w:tcPr>
          <w:p w:rsidR="00477F96" w:rsidRPr="00477F96" w:rsidRDefault="0015479D" w:rsidP="00477F96">
            <w:pPr>
              <w:jc w:val="center"/>
              <w:rPr>
                <w:rFonts w:ascii="Times New Roman" w:hAnsi="Times New Roman" w:cs="Times New Roman"/>
                <w:b/>
                <w:bCs/>
                <w:sz w:val="24"/>
                <w:szCs w:val="24"/>
                <w:rtl/>
              </w:rPr>
            </w:pPr>
            <w:r>
              <w:rPr>
                <w:rFonts w:ascii="Times New Roman" w:hAnsi="Times New Roman" w:cs="Times New Roman"/>
                <w:b/>
                <w:bCs/>
                <w:sz w:val="24"/>
                <w:szCs w:val="24"/>
              </w:rPr>
              <w:t>27</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8:</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Fiscal operations, revenues, expenditures and financing sources (commitment basis) 2013-2018</w:t>
            </w:r>
          </w:p>
        </w:tc>
        <w:tc>
          <w:tcPr>
            <w:tcW w:w="673" w:type="pct"/>
          </w:tcPr>
          <w:p w:rsidR="00477F96" w:rsidRPr="00477F96" w:rsidRDefault="0015479D" w:rsidP="00477F96">
            <w:pPr>
              <w:jc w:val="center"/>
              <w:rPr>
                <w:rFonts w:ascii="Times New Roman" w:hAnsi="Times New Roman" w:cs="Times New Roman"/>
                <w:b/>
                <w:bCs/>
                <w:sz w:val="24"/>
                <w:szCs w:val="24"/>
                <w:rtl/>
              </w:rPr>
            </w:pPr>
            <w:r>
              <w:rPr>
                <w:rFonts w:ascii="Times New Roman" w:hAnsi="Times New Roman" w:cs="Times New Roman"/>
                <w:b/>
                <w:bCs/>
                <w:sz w:val="24"/>
                <w:szCs w:val="24"/>
              </w:rPr>
              <w:t>30</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9:</w:t>
            </w:r>
          </w:p>
        </w:tc>
        <w:tc>
          <w:tcPr>
            <w:tcW w:w="3640" w:type="pct"/>
          </w:tcPr>
          <w:p w:rsidR="00477F96" w:rsidRPr="00477F96" w:rsidRDefault="00477F96" w:rsidP="0034561B">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Total public debt of Pales</w:t>
            </w:r>
            <w:r w:rsidR="0034561B">
              <w:rPr>
                <w:rFonts w:ascii="Times New Roman" w:hAnsi="Times New Roman" w:cs="Times New Roman"/>
                <w:sz w:val="24"/>
                <w:szCs w:val="24"/>
                <w:lang w:eastAsia="ar-SA"/>
              </w:rPr>
              <w:t>tine at the end of the years,</w:t>
            </w:r>
            <w:r>
              <w:rPr>
                <w:rFonts w:ascii="Times New Roman" w:hAnsi="Times New Roman" w:cs="Times New Roman"/>
                <w:sz w:val="24"/>
                <w:szCs w:val="24"/>
                <w:lang w:eastAsia="ar-SA"/>
              </w:rPr>
              <w:t xml:space="preserve"> </w:t>
            </w:r>
            <w:r w:rsidR="00EF105D">
              <w:rPr>
                <w:rFonts w:ascii="Times New Roman" w:hAnsi="Times New Roman" w:cs="Times New Roman"/>
                <w:sz w:val="24"/>
                <w:szCs w:val="24"/>
                <w:lang w:eastAsia="ar-SA"/>
              </w:rPr>
              <w:t>2013-</w:t>
            </w:r>
            <w:r w:rsidRPr="00477F96">
              <w:rPr>
                <w:rFonts w:ascii="Times New Roman" w:hAnsi="Times New Roman" w:cs="Times New Roman"/>
                <w:sz w:val="24"/>
                <w:szCs w:val="24"/>
                <w:lang w:eastAsia="ar-SA"/>
              </w:rPr>
              <w:t>2018</w:t>
            </w:r>
          </w:p>
        </w:tc>
        <w:tc>
          <w:tcPr>
            <w:tcW w:w="673" w:type="pct"/>
          </w:tcPr>
          <w:p w:rsidR="00477F96" w:rsidRPr="00477F96" w:rsidRDefault="0015479D" w:rsidP="00477F96">
            <w:pPr>
              <w:jc w:val="center"/>
              <w:rPr>
                <w:rFonts w:ascii="Times New Roman" w:hAnsi="Times New Roman" w:cs="Times New Roman"/>
                <w:b/>
                <w:bCs/>
                <w:sz w:val="24"/>
                <w:szCs w:val="24"/>
              </w:rPr>
            </w:pPr>
            <w:r>
              <w:rPr>
                <w:rFonts w:ascii="Times New Roman" w:hAnsi="Times New Roman" w:cs="Times New Roman"/>
                <w:b/>
                <w:bCs/>
                <w:sz w:val="24"/>
                <w:szCs w:val="24"/>
              </w:rPr>
              <w:t>33</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10:</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Main indicators of ban</w:t>
            </w:r>
            <w:r w:rsidR="00EF105D">
              <w:rPr>
                <w:rFonts w:ascii="Times New Roman" w:hAnsi="Times New Roman" w:cs="Times New Roman"/>
                <w:sz w:val="24"/>
                <w:szCs w:val="24"/>
                <w:lang w:eastAsia="ar-SA"/>
              </w:rPr>
              <w:t>king sector in Palestine, 2013-</w:t>
            </w:r>
            <w:r w:rsidRPr="00477F96">
              <w:rPr>
                <w:rFonts w:ascii="Times New Roman" w:hAnsi="Times New Roman" w:cs="Times New Roman"/>
                <w:sz w:val="24"/>
                <w:szCs w:val="24"/>
                <w:lang w:eastAsia="ar-SA"/>
              </w:rPr>
              <w:t>2018</w:t>
            </w:r>
          </w:p>
        </w:tc>
        <w:tc>
          <w:tcPr>
            <w:tcW w:w="673" w:type="pct"/>
          </w:tcPr>
          <w:p w:rsidR="00477F96" w:rsidRPr="00477F96" w:rsidRDefault="0015479D" w:rsidP="00477F96">
            <w:pPr>
              <w:jc w:val="center"/>
              <w:rPr>
                <w:rFonts w:ascii="Times New Roman" w:hAnsi="Times New Roman" w:cs="Times New Roman"/>
                <w:b/>
                <w:bCs/>
                <w:sz w:val="24"/>
                <w:szCs w:val="24"/>
              </w:rPr>
            </w:pPr>
            <w:r>
              <w:rPr>
                <w:rFonts w:ascii="Times New Roman" w:hAnsi="Times New Roman" w:cs="Times New Roman"/>
                <w:b/>
                <w:bCs/>
                <w:sz w:val="24"/>
                <w:szCs w:val="24"/>
              </w:rPr>
              <w:t>36</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11:</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 xml:space="preserve">Balance </w:t>
            </w:r>
            <w:r w:rsidR="00EF105D">
              <w:rPr>
                <w:rFonts w:ascii="Times New Roman" w:hAnsi="Times New Roman" w:cs="Times New Roman"/>
                <w:sz w:val="24"/>
                <w:szCs w:val="24"/>
                <w:lang w:eastAsia="ar-SA"/>
              </w:rPr>
              <w:t>of Payments in Palestine, 2013-</w:t>
            </w:r>
            <w:r w:rsidRPr="00477F96">
              <w:rPr>
                <w:rFonts w:ascii="Times New Roman" w:hAnsi="Times New Roman" w:cs="Times New Roman"/>
                <w:sz w:val="24"/>
                <w:szCs w:val="24"/>
                <w:lang w:eastAsia="ar-SA"/>
              </w:rPr>
              <w:t>2018</w:t>
            </w:r>
          </w:p>
        </w:tc>
        <w:tc>
          <w:tcPr>
            <w:tcW w:w="673" w:type="pct"/>
          </w:tcPr>
          <w:p w:rsidR="00477F96" w:rsidRPr="00477F96" w:rsidRDefault="0015479D" w:rsidP="00477F96">
            <w:pPr>
              <w:jc w:val="center"/>
              <w:rPr>
                <w:rFonts w:ascii="Times New Roman" w:hAnsi="Times New Roman" w:cs="Times New Roman"/>
                <w:b/>
                <w:bCs/>
                <w:sz w:val="24"/>
                <w:szCs w:val="24"/>
              </w:rPr>
            </w:pPr>
            <w:r>
              <w:rPr>
                <w:rFonts w:ascii="Times New Roman" w:hAnsi="Times New Roman" w:cs="Times New Roman"/>
                <w:b/>
                <w:bCs/>
                <w:sz w:val="24"/>
                <w:szCs w:val="24"/>
              </w:rPr>
              <w:t>41</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12:</w:t>
            </w: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International Investment Position (IIP) in Palestin</w:t>
            </w:r>
            <w:r w:rsidR="00EF105D">
              <w:rPr>
                <w:rFonts w:ascii="Times New Roman" w:hAnsi="Times New Roman" w:cs="Times New Roman"/>
                <w:sz w:val="24"/>
                <w:szCs w:val="24"/>
                <w:lang w:eastAsia="ar-SA"/>
              </w:rPr>
              <w:t>e at the end of the years 2013-</w:t>
            </w:r>
            <w:r w:rsidRPr="00477F96">
              <w:rPr>
                <w:rFonts w:ascii="Times New Roman" w:hAnsi="Times New Roman" w:cs="Times New Roman"/>
                <w:sz w:val="24"/>
                <w:szCs w:val="24"/>
                <w:lang w:eastAsia="ar-SA"/>
              </w:rPr>
              <w:t>2018</w:t>
            </w:r>
          </w:p>
        </w:tc>
        <w:tc>
          <w:tcPr>
            <w:tcW w:w="673" w:type="pct"/>
          </w:tcPr>
          <w:p w:rsidR="00477F96" w:rsidRPr="00477F96" w:rsidRDefault="0015479D" w:rsidP="00477F96">
            <w:pPr>
              <w:jc w:val="center"/>
              <w:rPr>
                <w:rFonts w:ascii="Times New Roman" w:hAnsi="Times New Roman" w:cs="Times New Roman"/>
                <w:b/>
                <w:bCs/>
                <w:sz w:val="24"/>
                <w:szCs w:val="24"/>
              </w:rPr>
            </w:pPr>
            <w:r>
              <w:rPr>
                <w:rFonts w:ascii="Times New Roman" w:hAnsi="Times New Roman" w:cs="Times New Roman"/>
                <w:b/>
                <w:bCs/>
                <w:sz w:val="24"/>
                <w:szCs w:val="24"/>
              </w:rPr>
              <w:t>43</w:t>
            </w:r>
          </w:p>
        </w:tc>
      </w:tr>
      <w:tr w:rsidR="00477F96" w:rsidRPr="00477F96" w:rsidTr="00A245D1">
        <w:trPr>
          <w:trHeight w:hRule="exact" w:val="113"/>
          <w:jc w:val="center"/>
        </w:trPr>
        <w:tc>
          <w:tcPr>
            <w:tcW w:w="687" w:type="pct"/>
          </w:tcPr>
          <w:p w:rsidR="00477F96" w:rsidRPr="00477F96" w:rsidRDefault="00477F96" w:rsidP="00477F96">
            <w:pPr>
              <w:rPr>
                <w:rFonts w:ascii="Times New Roman" w:hAnsi="Times New Roman" w:cs="Times New Roman"/>
                <w:sz w:val="24"/>
                <w:szCs w:val="24"/>
              </w:rPr>
            </w:pPr>
          </w:p>
        </w:tc>
        <w:tc>
          <w:tcPr>
            <w:tcW w:w="3640" w:type="pct"/>
          </w:tcPr>
          <w:p w:rsidR="00477F96" w:rsidRPr="00477F96" w:rsidRDefault="00477F96" w:rsidP="00477F96">
            <w:pPr>
              <w:pStyle w:val="FootnoteText"/>
              <w:keepNext/>
              <w:jc w:val="both"/>
              <w:rPr>
                <w:rFonts w:ascii="Times New Roman" w:hAnsi="Times New Roman" w:cs="Times New Roman"/>
                <w:sz w:val="24"/>
                <w:szCs w:val="24"/>
                <w:lang w:eastAsia="ar-SA"/>
              </w:rPr>
            </w:pPr>
          </w:p>
        </w:tc>
        <w:tc>
          <w:tcPr>
            <w:tcW w:w="673" w:type="pct"/>
          </w:tcPr>
          <w:p w:rsidR="00477F96" w:rsidRPr="00477F96" w:rsidRDefault="00477F96" w:rsidP="00477F96">
            <w:pPr>
              <w:rPr>
                <w:rFonts w:ascii="Times New Roman" w:hAnsi="Times New Roman" w:cs="Times New Roman"/>
                <w:b/>
                <w:bCs/>
                <w:sz w:val="24"/>
                <w:szCs w:val="24"/>
              </w:rPr>
            </w:pPr>
          </w:p>
        </w:tc>
      </w:tr>
      <w:tr w:rsidR="00477F96" w:rsidRPr="00477F96" w:rsidTr="00A245D1">
        <w:trPr>
          <w:trHeight w:val="340"/>
          <w:jc w:val="center"/>
        </w:trPr>
        <w:tc>
          <w:tcPr>
            <w:tcW w:w="687" w:type="pct"/>
          </w:tcPr>
          <w:p w:rsidR="00477F96" w:rsidRPr="00477F96" w:rsidRDefault="00477F96" w:rsidP="00477F96">
            <w:pPr>
              <w:rPr>
                <w:rFonts w:ascii="Times New Roman" w:hAnsi="Times New Roman" w:cs="Times New Roman"/>
                <w:sz w:val="24"/>
                <w:szCs w:val="24"/>
              </w:rPr>
            </w:pPr>
            <w:r w:rsidRPr="00477F96">
              <w:rPr>
                <w:rFonts w:ascii="Times New Roman" w:hAnsi="Times New Roman" w:cs="Times New Roman"/>
                <w:b/>
                <w:bCs/>
                <w:sz w:val="24"/>
                <w:szCs w:val="24"/>
              </w:rPr>
              <w:t>Table 13:</w:t>
            </w:r>
          </w:p>
        </w:tc>
        <w:tc>
          <w:tcPr>
            <w:tcW w:w="3640" w:type="pct"/>
          </w:tcPr>
          <w:p w:rsidR="00477F96" w:rsidRPr="00477F96" w:rsidRDefault="00477F96" w:rsidP="0034561B">
            <w:pPr>
              <w:pStyle w:val="FootnoteText"/>
              <w:keepNext/>
              <w:jc w:val="both"/>
              <w:rPr>
                <w:rFonts w:ascii="Times New Roman" w:hAnsi="Times New Roman" w:cs="Times New Roman"/>
                <w:sz w:val="24"/>
                <w:szCs w:val="24"/>
                <w:lang w:eastAsia="ar-SA"/>
              </w:rPr>
            </w:pPr>
            <w:r w:rsidRPr="00477F96">
              <w:rPr>
                <w:rFonts w:ascii="Times New Roman" w:hAnsi="Times New Roman" w:cs="Times New Roman"/>
                <w:sz w:val="24"/>
                <w:szCs w:val="24"/>
                <w:lang w:eastAsia="ar-SA"/>
              </w:rPr>
              <w:t xml:space="preserve">Gross external debt position of the economic sector in Palestine at the end of the years, </w:t>
            </w:r>
            <w:r w:rsidRPr="00477F96">
              <w:rPr>
                <w:rFonts w:ascii="Times New Roman" w:hAnsi="Times New Roman" w:cs="Times New Roman"/>
                <w:sz w:val="24"/>
                <w:szCs w:val="24"/>
                <w:rtl/>
                <w:lang w:eastAsia="ar-SA"/>
              </w:rPr>
              <w:t>2013</w:t>
            </w:r>
            <w:r w:rsidR="0034561B" w:rsidRPr="00477F96">
              <w:rPr>
                <w:rFonts w:ascii="Times New Roman" w:hAnsi="Times New Roman" w:cs="Times New Roman"/>
                <w:sz w:val="24"/>
                <w:szCs w:val="24"/>
                <w:lang w:eastAsia="ar-SA"/>
              </w:rPr>
              <w:t>-</w:t>
            </w:r>
            <w:r w:rsidRPr="00477F96">
              <w:rPr>
                <w:rFonts w:ascii="Times New Roman" w:hAnsi="Times New Roman" w:cs="Times New Roman"/>
                <w:sz w:val="24"/>
                <w:szCs w:val="24"/>
                <w:lang w:eastAsia="ar-SA"/>
              </w:rPr>
              <w:t>2018</w:t>
            </w:r>
          </w:p>
        </w:tc>
        <w:tc>
          <w:tcPr>
            <w:tcW w:w="673" w:type="pct"/>
          </w:tcPr>
          <w:p w:rsidR="00477F96" w:rsidRPr="00477F96" w:rsidRDefault="0015479D" w:rsidP="00477F96">
            <w:pPr>
              <w:jc w:val="center"/>
              <w:rPr>
                <w:rFonts w:ascii="Times New Roman" w:hAnsi="Times New Roman" w:cs="Times New Roman"/>
                <w:b/>
                <w:bCs/>
                <w:sz w:val="24"/>
                <w:szCs w:val="24"/>
              </w:rPr>
            </w:pPr>
            <w:r>
              <w:rPr>
                <w:rFonts w:ascii="Times New Roman" w:hAnsi="Times New Roman" w:cs="Times New Roman"/>
                <w:b/>
                <w:bCs/>
                <w:sz w:val="24"/>
                <w:szCs w:val="24"/>
              </w:rPr>
              <w:t>45</w:t>
            </w:r>
          </w:p>
        </w:tc>
      </w:tr>
    </w:tbl>
    <w:p w:rsidR="00CD4514" w:rsidRPr="00477F96" w:rsidRDefault="00CD4514" w:rsidP="00477F96">
      <w:pPr>
        <w:spacing w:after="0" w:line="240" w:lineRule="auto"/>
        <w:rPr>
          <w:rFonts w:ascii="Times New Roman" w:hAnsi="Times New Roman" w:cs="Times New Roman"/>
        </w:rPr>
      </w:pPr>
    </w:p>
    <w:p w:rsidR="00CD4514" w:rsidRPr="00477F96" w:rsidRDefault="00CD4514" w:rsidP="00477F96">
      <w:pPr>
        <w:spacing w:after="0" w:line="240" w:lineRule="auto"/>
        <w:rPr>
          <w:rFonts w:ascii="Times New Roman" w:hAnsi="Times New Roman" w:cs="Times New Roman"/>
        </w:rPr>
      </w:pPr>
      <w:r w:rsidRPr="00477F96">
        <w:rPr>
          <w:rFonts w:ascii="Times New Roman" w:hAnsi="Times New Roman" w:cs="Times New Roman"/>
        </w:rPr>
        <w:br w:type="page"/>
      </w:r>
    </w:p>
    <w:p w:rsidR="00477F96" w:rsidRDefault="00477F96">
      <w:pPr>
        <w:rPr>
          <w:rFonts w:ascii="Times New Roman" w:hAnsi="Times New Roman" w:cs="Times New Roman"/>
          <w:b/>
          <w:bCs/>
          <w:sz w:val="28"/>
          <w:szCs w:val="28"/>
        </w:rPr>
      </w:pPr>
      <w:r>
        <w:rPr>
          <w:rFonts w:ascii="Times New Roman" w:hAnsi="Times New Roman" w:cs="Times New Roman"/>
          <w:b/>
          <w:bCs/>
          <w:sz w:val="28"/>
          <w:szCs w:val="28"/>
        </w:rPr>
        <w:lastRenderedPageBreak/>
        <w:br w:type="page"/>
      </w:r>
    </w:p>
    <w:p w:rsidR="00CD4514" w:rsidRPr="00477F96" w:rsidRDefault="00CD4514" w:rsidP="00477F96">
      <w:pPr>
        <w:spacing w:after="0" w:line="240" w:lineRule="auto"/>
        <w:jc w:val="center"/>
        <w:rPr>
          <w:rFonts w:ascii="Times New Roman" w:hAnsi="Times New Roman" w:cs="Times New Roman"/>
          <w:b/>
          <w:bCs/>
          <w:sz w:val="28"/>
          <w:szCs w:val="28"/>
        </w:rPr>
      </w:pPr>
      <w:r w:rsidRPr="00477F96">
        <w:rPr>
          <w:rFonts w:ascii="Times New Roman" w:hAnsi="Times New Roman" w:cs="Times New Roman"/>
          <w:b/>
          <w:bCs/>
          <w:sz w:val="28"/>
          <w:szCs w:val="28"/>
        </w:rPr>
        <w:lastRenderedPageBreak/>
        <w:t xml:space="preserve">Summary of Performance of the Palestinian Economy </w:t>
      </w:r>
    </w:p>
    <w:p w:rsidR="00CD4514" w:rsidRPr="00477F96" w:rsidRDefault="00CD4514" w:rsidP="00477F96">
      <w:pPr>
        <w:spacing w:after="0" w:line="240" w:lineRule="auto"/>
        <w:rPr>
          <w:rFonts w:ascii="Times New Roman" w:hAnsi="Times New Roman" w:cs="Times New Roman"/>
          <w:sz w:val="24"/>
          <w:szCs w:val="24"/>
        </w:rPr>
      </w:pPr>
    </w:p>
    <w:p w:rsidR="008604EB" w:rsidRDefault="008604EB" w:rsidP="00477F96">
      <w:pPr>
        <w:spacing w:after="0" w:line="240" w:lineRule="auto"/>
        <w:jc w:val="both"/>
        <w:rPr>
          <w:rFonts w:ascii="Times New Roman" w:eastAsia="Times New Roman" w:hAnsi="Times New Roman" w:cs="Times New Roman"/>
          <w:b/>
          <w:bCs/>
          <w:sz w:val="24"/>
          <w:szCs w:val="24"/>
          <w:lang w:eastAsia="en-US"/>
        </w:rPr>
        <w:sectPr w:rsidR="008604EB" w:rsidSect="00477F96">
          <w:headerReference w:type="default" r:id="rId14"/>
          <w:pgSz w:w="11906" w:h="16838" w:code="9"/>
          <w:pgMar w:top="1418" w:right="1418" w:bottom="1418" w:left="1418" w:header="709" w:footer="709" w:gutter="0"/>
          <w:cols w:space="708"/>
          <w:titlePg/>
          <w:rtlGutter/>
          <w:docGrid w:linePitch="360"/>
        </w:sect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eastAsia="Times New Roman" w:hAnsi="Times New Roman" w:cs="Times New Roman"/>
          <w:b/>
          <w:bCs/>
          <w:sz w:val="24"/>
          <w:szCs w:val="24"/>
          <w:lang w:eastAsia="en-US"/>
        </w:rPr>
        <w:lastRenderedPageBreak/>
        <w:t>A slowdown in GDP growth in Palestine in 2018 reach to 0.9% compared to 3% in 2017,</w:t>
      </w:r>
      <w:r w:rsidRPr="00477F96">
        <w:rPr>
          <w:rFonts w:ascii="Times New Roman" w:eastAsia="Times New Roman" w:hAnsi="Times New Roman" w:cs="Times New Roman"/>
          <w:sz w:val="24"/>
          <w:szCs w:val="24"/>
          <w:lang w:eastAsia="en-US"/>
        </w:rPr>
        <w:t xml:space="preserve"> this slowdown was due to the sharp decline in Gaza Strip by 7% during 2018, while, the GDP in the West Bank increased by 3% during the same period.  </w:t>
      </w:r>
      <w:r w:rsidRPr="00477F96">
        <w:rPr>
          <w:rFonts w:ascii="Times New Roman" w:hAnsi="Times New Roman" w:cs="Times New Roman"/>
          <w:sz w:val="24"/>
          <w:szCs w:val="24"/>
        </w:rPr>
        <w:t xml:space="preserve">As a result of this variation in rates of </w:t>
      </w:r>
      <w:r w:rsidRPr="00477F96">
        <w:rPr>
          <w:rFonts w:ascii="Times New Roman" w:hAnsi="Times New Roman" w:cs="Times New Roman"/>
          <w:sz w:val="24"/>
          <w:szCs w:val="24"/>
        </w:rPr>
        <w:lastRenderedPageBreak/>
        <w:t>change, the share of Gaza Strip of GDP reach to 20% in 2018 compared to 39% in 2005, this decrease affected the GDP per capita for Gaza Strip, where GDP per capita in the West Bank in 2018 became three times of GDP per capita in Gaza Strip.</w:t>
      </w:r>
    </w:p>
    <w:p w:rsidR="008604EB" w:rsidRDefault="008604EB" w:rsidP="00477F96">
      <w:pPr>
        <w:spacing w:after="0" w:line="240" w:lineRule="auto"/>
        <w:jc w:val="both"/>
        <w:rPr>
          <w:rFonts w:ascii="Times New Roman" w:eastAsia="Times New Roman" w:hAnsi="Times New Roman" w:cs="Times New Roman"/>
          <w:b/>
          <w:bCs/>
          <w:sz w:val="24"/>
          <w:szCs w:val="24"/>
          <w:lang w:eastAsia="en-US"/>
        </w:rPr>
        <w:sectPr w:rsidR="008604EB" w:rsidSect="008604EB">
          <w:type w:val="continuous"/>
          <w:pgSz w:w="11906" w:h="16838" w:code="9"/>
          <w:pgMar w:top="1418" w:right="1418" w:bottom="1418" w:left="1418" w:header="709" w:footer="709" w:gutter="0"/>
          <w:cols w:num="2" w:space="708"/>
          <w:titlePg/>
          <w:rtlGutter/>
          <w:docGrid w:linePitch="360"/>
        </w:sectPr>
      </w:pPr>
    </w:p>
    <w:p w:rsidR="00CD4514" w:rsidRPr="00477F96" w:rsidRDefault="00CD4514" w:rsidP="00477F96">
      <w:pPr>
        <w:spacing w:after="0" w:line="240" w:lineRule="auto"/>
        <w:jc w:val="both"/>
        <w:rPr>
          <w:rFonts w:ascii="Times New Roman" w:eastAsia="Times New Roman" w:hAnsi="Times New Roman" w:cs="Times New Roman"/>
          <w:b/>
          <w:bCs/>
          <w:sz w:val="24"/>
          <w:szCs w:val="24"/>
          <w:lang w:eastAsia="en-US"/>
        </w:rPr>
      </w:pPr>
    </w:p>
    <w:p w:rsidR="00CD4514" w:rsidRPr="00477F96" w:rsidRDefault="00CD4514" w:rsidP="008604EB">
      <w:pPr>
        <w:spacing w:after="0" w:line="240" w:lineRule="auto"/>
        <w:jc w:val="both"/>
        <w:rPr>
          <w:rFonts w:ascii="Times New Roman" w:eastAsia="Times New Roman" w:hAnsi="Times New Roman" w:cs="Times New Roman"/>
          <w:sz w:val="24"/>
          <w:szCs w:val="24"/>
          <w:lang w:eastAsia="en-US"/>
        </w:rPr>
      </w:pPr>
      <w:r w:rsidRPr="00477F96">
        <w:rPr>
          <w:rFonts w:ascii="Times New Roman" w:eastAsia="Times New Roman" w:hAnsi="Times New Roman" w:cs="Times New Roman"/>
          <w:b/>
          <w:bCs/>
          <w:sz w:val="24"/>
          <w:szCs w:val="24"/>
          <w:lang w:eastAsia="en-US"/>
        </w:rPr>
        <w:t>As a result of the slowdown of the Palestinian</w:t>
      </w:r>
      <w:r w:rsidR="008604EB">
        <w:rPr>
          <w:rFonts w:ascii="Times New Roman" w:eastAsia="Times New Roman" w:hAnsi="Times New Roman" w:cs="Times New Roman"/>
          <w:b/>
          <w:bCs/>
          <w:sz w:val="24"/>
          <w:szCs w:val="24"/>
          <w:lang w:eastAsia="en-US"/>
        </w:rPr>
        <w:t xml:space="preserve"> macroeconomic indicators, 2018 </w:t>
      </w:r>
      <w:r w:rsidRPr="00477F96">
        <w:rPr>
          <w:rFonts w:ascii="Times New Roman" w:eastAsia="Times New Roman" w:hAnsi="Times New Roman" w:cs="Times New Roman"/>
          <w:b/>
          <w:bCs/>
          <w:sz w:val="24"/>
          <w:szCs w:val="24"/>
          <w:lang w:eastAsia="en-US"/>
        </w:rPr>
        <w:t>witnessed an increase in</w:t>
      </w:r>
      <w:r w:rsidR="008604EB">
        <w:rPr>
          <w:rFonts w:ascii="Times New Roman" w:eastAsia="Times New Roman" w:hAnsi="Times New Roman" w:cs="Times New Roman"/>
          <w:b/>
          <w:bCs/>
          <w:sz w:val="24"/>
          <w:szCs w:val="24"/>
          <w:lang w:eastAsia="en-US"/>
        </w:rPr>
        <w:t xml:space="preserve"> </w:t>
      </w:r>
      <w:r w:rsidRPr="00477F96">
        <w:rPr>
          <w:rFonts w:ascii="Times New Roman" w:eastAsia="Times New Roman" w:hAnsi="Times New Roman" w:cs="Times New Roman"/>
          <w:b/>
          <w:bCs/>
          <w:sz w:val="24"/>
          <w:szCs w:val="24"/>
          <w:lang w:eastAsia="en-US"/>
        </w:rPr>
        <w:t>unemployment rate for Palestine reaching to 31%</w:t>
      </w:r>
      <w:r w:rsidRPr="00477F96">
        <w:rPr>
          <w:rFonts w:ascii="Times New Roman" w:eastAsia="Times New Roman" w:hAnsi="Times New Roman" w:cs="Times New Roman"/>
          <w:b/>
          <w:bCs/>
          <w:sz w:val="24"/>
          <w:szCs w:val="24"/>
          <w:lang w:val="en-US" w:eastAsia="en-US"/>
        </w:rPr>
        <w:t xml:space="preserve"> compared to 29% in 2017</w:t>
      </w:r>
      <w:r w:rsidRPr="00477F96">
        <w:rPr>
          <w:rFonts w:ascii="Times New Roman" w:eastAsia="Times New Roman" w:hAnsi="Times New Roman" w:cs="Times New Roman"/>
          <w:b/>
          <w:bCs/>
          <w:sz w:val="24"/>
          <w:szCs w:val="24"/>
          <w:lang w:eastAsia="en-US"/>
        </w:rPr>
        <w:t xml:space="preserve">.  </w:t>
      </w:r>
      <w:r w:rsidRPr="00477F96">
        <w:rPr>
          <w:rFonts w:ascii="Times New Roman" w:eastAsia="Times New Roman" w:hAnsi="Times New Roman" w:cs="Times New Roman"/>
          <w:sz w:val="24"/>
          <w:szCs w:val="24"/>
          <w:lang w:eastAsia="en-US"/>
        </w:rPr>
        <w:t>It reached in Gaza Strip 52% during 2018 compared to 44% in 2017.  A</w:t>
      </w:r>
      <w:proofErr w:type="spellStart"/>
      <w:r w:rsidRPr="00477F96">
        <w:rPr>
          <w:rFonts w:ascii="Times New Roman" w:hAnsi="Times New Roman" w:cs="Times New Roman"/>
          <w:sz w:val="24"/>
          <w:szCs w:val="24"/>
          <w:lang w:val="en-US"/>
        </w:rPr>
        <w:t>ll</w:t>
      </w:r>
      <w:proofErr w:type="spellEnd"/>
      <w:r w:rsidRPr="00477F96">
        <w:rPr>
          <w:rFonts w:ascii="Times New Roman" w:hAnsi="Times New Roman" w:cs="Times New Roman"/>
          <w:sz w:val="24"/>
          <w:szCs w:val="24"/>
          <w:lang w:val="en-US"/>
        </w:rPr>
        <w:t xml:space="preserve"> of </w:t>
      </w:r>
      <w:r w:rsidRPr="00477F96">
        <w:rPr>
          <w:rFonts w:ascii="Times New Roman" w:hAnsi="Times New Roman" w:cs="Times New Roman"/>
          <w:sz w:val="24"/>
          <w:szCs w:val="24"/>
        </w:rPr>
        <w:t>the economic activities recorded a decrease in the number of employed persons</w:t>
      </w:r>
      <w:r w:rsidRPr="00477F96">
        <w:rPr>
          <w:rFonts w:ascii="Times New Roman" w:eastAsia="Times New Roman" w:hAnsi="Times New Roman" w:cs="Times New Roman"/>
          <w:sz w:val="24"/>
          <w:szCs w:val="24"/>
          <w:lang w:eastAsia="en-US"/>
        </w:rPr>
        <w:t xml:space="preserve">, </w:t>
      </w:r>
      <w:r w:rsidRPr="00477F96">
        <w:rPr>
          <w:rFonts w:ascii="Times New Roman" w:hAnsi="Times New Roman" w:cs="Times New Roman"/>
          <w:sz w:val="24"/>
          <w:szCs w:val="24"/>
        </w:rPr>
        <w:t xml:space="preserve">and the construction activities recorded the highest decrease by 45%, followed by information and communications activities 12%, then industry activities 11%, and services and other branches activities 7%.  </w:t>
      </w:r>
      <w:r w:rsidRPr="00477F96">
        <w:rPr>
          <w:rFonts w:ascii="Times New Roman" w:eastAsia="Times New Roman" w:hAnsi="Times New Roman" w:cs="Times New Roman"/>
          <w:sz w:val="24"/>
          <w:szCs w:val="24"/>
          <w:lang w:eastAsia="en-US"/>
        </w:rPr>
        <w:t>In contrast, unemployment rate declined in the West Bank to 18% in 2018 after it was 19% in 2017.</w:t>
      </w:r>
    </w:p>
    <w:p w:rsidR="00CD4514" w:rsidRPr="00477F96" w:rsidRDefault="00CD4514" w:rsidP="00477F96">
      <w:pPr>
        <w:spacing w:after="0" w:line="240" w:lineRule="auto"/>
        <w:jc w:val="both"/>
        <w:rPr>
          <w:rFonts w:ascii="Times New Roman" w:eastAsia="Times New Roman" w:hAnsi="Times New Roman" w:cs="Times New Roman"/>
          <w:sz w:val="24"/>
          <w:szCs w:val="24"/>
          <w:lang w:eastAsia="en-US"/>
        </w:r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 xml:space="preserve">A decrease in deficit of the Palestinian government budget by 17% during 2018 compared to 2017,  resulted mainly from the decrease in current expenditures and net lending by 6%, </w:t>
      </w:r>
      <w:r w:rsidRPr="00477F96">
        <w:rPr>
          <w:rFonts w:ascii="Times New Roman" w:hAnsi="Times New Roman" w:cs="Times New Roman"/>
          <w:sz w:val="24"/>
          <w:szCs w:val="24"/>
        </w:rPr>
        <w:t xml:space="preserve">the government budget deficit amounted to USD 721 million in 2018 compared to USD 863 million in 2017.  The year 2018 witnessed a fall in the total net public revenues by 4% compared to 2017, as a result of        </w:t>
      </w:r>
      <w:r w:rsidR="008604EB">
        <w:rPr>
          <w:rFonts w:ascii="Times New Roman" w:hAnsi="Times New Roman" w:cs="Times New Roman"/>
          <w:sz w:val="24"/>
          <w:szCs w:val="24"/>
        </w:rPr>
        <w:t xml:space="preserve">      </w:t>
      </w:r>
      <w:r w:rsidRPr="00477F96">
        <w:rPr>
          <w:rFonts w:ascii="Times New Roman" w:hAnsi="Times New Roman" w:cs="Times New Roman"/>
          <w:sz w:val="24"/>
          <w:szCs w:val="24"/>
        </w:rPr>
        <w:t xml:space="preserve">   a decrease in clearance revenues by 7% compared to 2017, which was considered as the largest contributor to the total net public revenues by 66% amounting to USD 2,255 million, in addition to its contribution in covering the current expenditures and net lending by 54% in 2018, as well as contributing to GDP by 15%, such figures highlight the Israeli control of a large proportion of the Palestinian government revenues, where the decline in clearance revenues was </w:t>
      </w:r>
      <w:r w:rsidRPr="00477F96">
        <w:rPr>
          <w:rFonts w:ascii="Times New Roman" w:hAnsi="Times New Roman" w:cs="Times New Roman"/>
          <w:sz w:val="24"/>
          <w:szCs w:val="24"/>
        </w:rPr>
        <w:lastRenderedPageBreak/>
        <w:t>accompanied by a decrease in external support to budget by 5%, as the external support amounted to USD 516 million in 2018 after it was USD 545 million in 2017.</w:t>
      </w: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An increase in the deficit of trade balance and the decrease in the net current transfers raised the current account deficit in Palestine by 6%</w:t>
      </w:r>
      <w:r w:rsidRPr="00477F96">
        <w:rPr>
          <w:rFonts w:ascii="Times New Roman" w:hAnsi="Times New Roman" w:cs="Times New Roman"/>
          <w:b/>
          <w:bCs/>
          <w:sz w:val="24"/>
          <w:szCs w:val="24"/>
          <w:lang w:val="en-US"/>
        </w:rPr>
        <w:t xml:space="preserve"> during 2018</w:t>
      </w:r>
      <w:r w:rsidRPr="00477F96">
        <w:rPr>
          <w:rFonts w:ascii="Times New Roman" w:hAnsi="Times New Roman" w:cs="Times New Roman"/>
          <w:b/>
          <w:bCs/>
          <w:sz w:val="24"/>
          <w:szCs w:val="24"/>
        </w:rPr>
        <w:t xml:space="preserve">.  </w:t>
      </w:r>
      <w:r w:rsidRPr="00477F96">
        <w:rPr>
          <w:rFonts w:ascii="Times New Roman" w:hAnsi="Times New Roman" w:cs="Times New Roman"/>
          <w:sz w:val="24"/>
          <w:szCs w:val="24"/>
        </w:rPr>
        <w:t xml:space="preserve">The net trade balance for Palestine is considered as the main component in the Palestinian net current account. The year 2018 witnessed an increase in the deficit of trade balance by 8%, due to an increase of the imports from abroad by 8% despite of the rise of the Palestinian exports in the same rate.  The value of imports from abroad is about 3 times of the Palestinian exports of goods and services, which reflects the trade gap in trade balance.  The net current transfers decreased by 2% compared to 2017, amounting to USD 1,774 million after it was USD 1,819 million </w:t>
      </w:r>
      <w:r w:rsidR="00477F96">
        <w:rPr>
          <w:rFonts w:ascii="Times New Roman" w:hAnsi="Times New Roman" w:cs="Times New Roman"/>
          <w:sz w:val="24"/>
          <w:szCs w:val="24"/>
        </w:rPr>
        <w:t xml:space="preserve">       </w:t>
      </w:r>
      <w:r w:rsidRPr="00477F96">
        <w:rPr>
          <w:rFonts w:ascii="Times New Roman" w:hAnsi="Times New Roman" w:cs="Times New Roman"/>
          <w:sz w:val="24"/>
          <w:szCs w:val="24"/>
        </w:rPr>
        <w:t xml:space="preserve">in 2017. </w:t>
      </w: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stock value of the foreign direct investment in Palestine is more than the stock value of the direct investment abroad for Palestinians</w:t>
      </w:r>
      <w:r w:rsidRPr="00477F96">
        <w:rPr>
          <w:rFonts w:ascii="Times New Roman" w:hAnsi="Times New Roman" w:cs="Times New Roman"/>
          <w:sz w:val="24"/>
          <w:szCs w:val="24"/>
        </w:rPr>
        <w:t>, during 2018 the stock of the foreign direct investment value in Palestine amounted to USD 2,721 million, whereas the stock value of the direct investment abroad for Palestinians was USD 347 million.</w:t>
      </w: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Default="00CD4514" w:rsidP="00A245D1">
      <w:pPr>
        <w:spacing w:after="0" w:line="240" w:lineRule="auto"/>
        <w:jc w:val="both"/>
        <w:rPr>
          <w:rFonts w:ascii="Times New Roman" w:hAnsi="Times New Roman" w:cs="Times New Roman"/>
          <w:bCs/>
          <w:iCs/>
          <w:sz w:val="24"/>
          <w:szCs w:val="24"/>
        </w:rPr>
      </w:pPr>
      <w:r w:rsidRPr="00477F96">
        <w:rPr>
          <w:rFonts w:ascii="Times New Roman" w:hAnsi="Times New Roman" w:cs="Times New Roman"/>
          <w:b/>
          <w:iCs/>
          <w:sz w:val="24"/>
          <w:szCs w:val="24"/>
        </w:rPr>
        <w:t>A decrease in the public debt of Palestine by 7% at the end of 2018, amounting to USD 2,370 million after it was USD 2,543 million at the end of 2017.</w:t>
      </w:r>
      <w:r w:rsidR="00A245D1">
        <w:rPr>
          <w:rFonts w:ascii="Times New Roman" w:hAnsi="Times New Roman" w:cs="Times New Roman"/>
          <w:b/>
          <w:iCs/>
          <w:sz w:val="24"/>
          <w:szCs w:val="24"/>
        </w:rPr>
        <w:t xml:space="preserve">  </w:t>
      </w:r>
      <w:r w:rsidRPr="00477F96">
        <w:rPr>
          <w:rFonts w:ascii="Times New Roman" w:hAnsi="Times New Roman" w:cs="Times New Roman"/>
          <w:bCs/>
          <w:iCs/>
          <w:sz w:val="24"/>
          <w:szCs w:val="24"/>
        </w:rPr>
        <w:t xml:space="preserve">Total public debt constituted approximately 16% of the gross domestic </w:t>
      </w:r>
      <w:r w:rsidRPr="00477F96">
        <w:rPr>
          <w:rFonts w:ascii="Times New Roman" w:hAnsi="Times New Roman" w:cs="Times New Roman"/>
          <w:bCs/>
          <w:iCs/>
          <w:sz w:val="24"/>
          <w:szCs w:val="24"/>
        </w:rPr>
        <w:lastRenderedPageBreak/>
        <w:t>product in 2018, whereas it was 18%</w:t>
      </w:r>
      <w:r w:rsidR="00A245D1">
        <w:rPr>
          <w:rFonts w:ascii="Times New Roman" w:hAnsi="Times New Roman" w:cs="Times New Roman"/>
          <w:bCs/>
          <w:iCs/>
          <w:sz w:val="24"/>
          <w:szCs w:val="24"/>
        </w:rPr>
        <w:t xml:space="preserve"> </w:t>
      </w:r>
      <w:r w:rsidRPr="00477F96">
        <w:rPr>
          <w:rFonts w:ascii="Times New Roman" w:hAnsi="Times New Roman" w:cs="Times New Roman"/>
          <w:bCs/>
          <w:iCs/>
          <w:sz w:val="24"/>
          <w:szCs w:val="24"/>
        </w:rPr>
        <w:t>in 2017.</w:t>
      </w:r>
    </w:p>
    <w:p w:rsidR="001739A7" w:rsidRPr="00477F96" w:rsidRDefault="001739A7" w:rsidP="00477F96">
      <w:pPr>
        <w:spacing w:after="0" w:line="240" w:lineRule="auto"/>
        <w:jc w:val="both"/>
        <w:rPr>
          <w:rFonts w:ascii="Times New Roman" w:hAnsi="Times New Roman" w:cs="Times New Roman"/>
          <w:b/>
          <w:iCs/>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roofErr w:type="gramStart"/>
      <w:r w:rsidRPr="00477F96">
        <w:rPr>
          <w:rFonts w:ascii="Times New Roman" w:hAnsi="Times New Roman" w:cs="Times New Roman"/>
          <w:b/>
          <w:bCs/>
          <w:sz w:val="24"/>
          <w:szCs w:val="24"/>
        </w:rPr>
        <w:t>The total value of deposits increased by 2% in 2018, amounting to USD 12,227 million.</w:t>
      </w:r>
      <w:proofErr w:type="gramEnd"/>
      <w:r w:rsidRPr="00477F96">
        <w:rPr>
          <w:rFonts w:ascii="Times New Roman" w:hAnsi="Times New Roman" w:cs="Times New Roman"/>
          <w:sz w:val="24"/>
          <w:szCs w:val="24"/>
        </w:rPr>
        <w:t xml:space="preserve"> Resident individual deposits constituted 71% of total deposits. The data of the banking sector indicates an increase of the total credit facilities provided by the banking sector in 2018 by 5% to reach USD 8,438</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million.</w:t>
      </w: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A slight decrease in consumer price index in Palestine by 0.19% during 2018, amounting to 110.77 compared to 110.98 in 2017 (base year 2010).</w:t>
      </w:r>
      <w:r w:rsidRPr="00477F96">
        <w:rPr>
          <w:rFonts w:ascii="Times New Roman" w:hAnsi="Times New Roman" w:cs="Times New Roman"/>
          <w:sz w:val="24"/>
          <w:szCs w:val="24"/>
        </w:rPr>
        <w:t xml:space="preserve">  The slight decrease in the consumer price index during 2018 was mainly attributed to the lower prices of some commodities within major groups with the highest relative weight, such as prices of food and soft drinks group and textiles, clothing and footwear group.</w:t>
      </w:r>
    </w:p>
    <w:p w:rsidR="00CD4514" w:rsidRPr="00477F96" w:rsidRDefault="00CD4514" w:rsidP="00477F96">
      <w:pPr>
        <w:spacing w:after="0" w:line="240" w:lineRule="auto"/>
        <w:jc w:val="both"/>
        <w:rPr>
          <w:rFonts w:ascii="Times New Roman" w:hAnsi="Times New Roman" w:cs="Times New Roman"/>
          <w:sz w:val="24"/>
          <w:szCs w:val="24"/>
        </w:rPr>
      </w:pPr>
    </w:p>
    <w:p w:rsidR="00CD4514" w:rsidRDefault="00CD4514" w:rsidP="00477F96">
      <w:pPr>
        <w:spacing w:after="0" w:line="240" w:lineRule="auto"/>
        <w:jc w:val="both"/>
        <w:rPr>
          <w:rFonts w:ascii="Times New Roman" w:hAnsi="Times New Roman" w:cs="Times New Roman"/>
          <w:sz w:val="8"/>
          <w:szCs w:val="8"/>
        </w:rPr>
      </w:pPr>
    </w:p>
    <w:p w:rsidR="00477F96" w:rsidRPr="00477F96" w:rsidRDefault="00477F96" w:rsidP="00477F96">
      <w:pPr>
        <w:spacing w:after="0" w:line="240" w:lineRule="auto"/>
        <w:jc w:val="both"/>
        <w:rPr>
          <w:rFonts w:ascii="Times New Roman" w:hAnsi="Times New Roman" w:cs="Times New Roman"/>
          <w:sz w:val="8"/>
          <w:szCs w:val="8"/>
        </w:rPr>
      </w:pPr>
    </w:p>
    <w:p w:rsidR="00CD4514" w:rsidRPr="00477F96" w:rsidRDefault="00CD4514" w:rsidP="00477F96">
      <w:pPr>
        <w:spacing w:after="0" w:line="240" w:lineRule="auto"/>
        <w:jc w:val="mediumKashida"/>
        <w:rPr>
          <w:rFonts w:ascii="Times New Roman" w:hAnsi="Times New Roman" w:cs="Times New Roman"/>
          <w:sz w:val="18"/>
          <w:szCs w:val="18"/>
        </w:rPr>
      </w:pPr>
      <w:r w:rsidRPr="00477F96">
        <w:rPr>
          <w:rFonts w:ascii="Times New Roman" w:hAnsi="Times New Roman" w:cs="Times New Roman"/>
          <w:b/>
          <w:bCs/>
          <w:sz w:val="18"/>
          <w:szCs w:val="18"/>
        </w:rPr>
        <w:t xml:space="preserve">Note: </w:t>
      </w:r>
      <w:r w:rsidRPr="00477F96">
        <w:rPr>
          <w:rFonts w:ascii="Times New Roman" w:hAnsi="Times New Roman" w:cs="Times New Roman"/>
          <w:sz w:val="18"/>
          <w:szCs w:val="18"/>
        </w:rPr>
        <w:t xml:space="preserve">The data for gross domestic product, </w:t>
      </w:r>
      <w:proofErr w:type="spellStart"/>
      <w:r w:rsidRPr="00477F96">
        <w:rPr>
          <w:rFonts w:ascii="Times New Roman" w:hAnsi="Times New Roman" w:cs="Times New Roman"/>
          <w:sz w:val="18"/>
          <w:szCs w:val="18"/>
        </w:rPr>
        <w:t>labor</w:t>
      </w:r>
      <w:proofErr w:type="spellEnd"/>
      <w:r w:rsidRPr="00477F96">
        <w:rPr>
          <w:rFonts w:ascii="Times New Roman" w:hAnsi="Times New Roman" w:cs="Times New Roman"/>
          <w:sz w:val="18"/>
          <w:szCs w:val="18"/>
        </w:rPr>
        <w:t xml:space="preserve"> force, balance of payments</w:t>
      </w:r>
      <w:r w:rsidRPr="00477F96">
        <w:rPr>
          <w:rFonts w:ascii="Times New Roman" w:eastAsia="Times New Roman" w:hAnsi="Times New Roman" w:cs="Times New Roman"/>
          <w:noProof/>
          <w:sz w:val="18"/>
          <w:szCs w:val="18"/>
        </w:rPr>
        <w:t xml:space="preserve"> excluded those parts of Jerusalem</w:t>
      </w:r>
      <w:r w:rsidRPr="00477F96">
        <w:rPr>
          <w:rFonts w:ascii="Times New Roman" w:hAnsi="Times New Roman" w:cs="Times New Roman"/>
          <w:sz w:val="18"/>
          <w:szCs w:val="18"/>
        </w:rPr>
        <w:t xml:space="preserve"> which were annexed by Israeli occupation in</w:t>
      </w:r>
      <w:r w:rsidRPr="00477F96">
        <w:rPr>
          <w:rFonts w:ascii="Times New Roman" w:hAnsi="Times New Roman" w:cs="Times New Roman"/>
          <w:sz w:val="18"/>
          <w:szCs w:val="18"/>
          <w:rtl/>
        </w:rPr>
        <w:t xml:space="preserve"> </w:t>
      </w:r>
      <w:r w:rsidRPr="00477F96">
        <w:rPr>
          <w:rFonts w:ascii="Times New Roman" w:hAnsi="Times New Roman" w:cs="Times New Roman"/>
          <w:sz w:val="18"/>
          <w:szCs w:val="18"/>
        </w:rPr>
        <w:t>1967.</w:t>
      </w:r>
    </w:p>
    <w:p w:rsidR="00477F96" w:rsidRDefault="00477F96" w:rsidP="00477F96">
      <w:pPr>
        <w:spacing w:after="0" w:line="240" w:lineRule="auto"/>
        <w:rPr>
          <w:rFonts w:ascii="Times New Roman" w:hAnsi="Times New Roman" w:cs="Times New Roman"/>
          <w:sz w:val="18"/>
          <w:szCs w:val="18"/>
        </w:rPr>
        <w:sectPr w:rsidR="00477F96" w:rsidSect="008604EB">
          <w:type w:val="continuous"/>
          <w:pgSz w:w="11906" w:h="16838" w:code="9"/>
          <w:pgMar w:top="1418" w:right="1418" w:bottom="1418" w:left="1418" w:header="709" w:footer="709" w:gutter="0"/>
          <w:cols w:num="2" w:space="708"/>
          <w:titlePg/>
          <w:rtlGutter/>
          <w:docGrid w:linePitch="360"/>
        </w:sectPr>
      </w:pPr>
    </w:p>
    <w:p w:rsidR="008604EB" w:rsidRDefault="008604EB" w:rsidP="00477F96">
      <w:pPr>
        <w:tabs>
          <w:tab w:val="left" w:pos="3176"/>
          <w:tab w:val="center" w:pos="4153"/>
        </w:tabs>
        <w:spacing w:after="0" w:line="240" w:lineRule="auto"/>
        <w:jc w:val="center"/>
        <w:rPr>
          <w:rFonts w:ascii="Times New Roman" w:hAnsi="Times New Roman" w:cs="Times New Roman"/>
          <w:sz w:val="24"/>
          <w:szCs w:val="24"/>
        </w:rPr>
        <w:sectPr w:rsidR="008604EB" w:rsidSect="00CD4514">
          <w:footerReference w:type="default" r:id="rId15"/>
          <w:pgSz w:w="11906" w:h="16838" w:code="9"/>
          <w:pgMar w:top="1418" w:right="1418" w:bottom="1418" w:left="1418" w:header="709" w:footer="709" w:gutter="0"/>
          <w:cols w:space="708"/>
          <w:rtlGutter/>
          <w:docGrid w:linePitch="360"/>
        </w:sectPr>
      </w:pPr>
    </w:p>
    <w:p w:rsidR="00CD4514" w:rsidRPr="00477F96" w:rsidRDefault="00CD4514" w:rsidP="00477F96">
      <w:pPr>
        <w:tabs>
          <w:tab w:val="left" w:pos="3176"/>
          <w:tab w:val="center" w:pos="4153"/>
        </w:tabs>
        <w:spacing w:after="0" w:line="240" w:lineRule="auto"/>
        <w:jc w:val="center"/>
        <w:rPr>
          <w:rFonts w:ascii="Times New Roman" w:hAnsi="Times New Roman" w:cs="Times New Roman"/>
          <w:sz w:val="24"/>
          <w:szCs w:val="24"/>
        </w:rPr>
      </w:pPr>
      <w:r w:rsidRPr="00477F96">
        <w:rPr>
          <w:rFonts w:ascii="Times New Roman" w:hAnsi="Times New Roman" w:cs="Times New Roman"/>
          <w:sz w:val="24"/>
          <w:szCs w:val="24"/>
        </w:rPr>
        <w:lastRenderedPageBreak/>
        <w:t>Chapter one</w:t>
      </w:r>
    </w:p>
    <w:p w:rsidR="00CD4514" w:rsidRPr="00477F96" w:rsidRDefault="00CD4514" w:rsidP="00477F96">
      <w:pPr>
        <w:tabs>
          <w:tab w:val="left" w:pos="3216"/>
          <w:tab w:val="center" w:pos="4153"/>
        </w:tabs>
        <w:spacing w:after="0" w:line="240" w:lineRule="auto"/>
        <w:jc w:val="center"/>
        <w:rPr>
          <w:rFonts w:ascii="Times New Roman" w:hAnsi="Times New Roman" w:cs="Times New Roman"/>
          <w:b/>
          <w:bCs/>
          <w:sz w:val="32"/>
          <w:szCs w:val="32"/>
        </w:rPr>
      </w:pPr>
    </w:p>
    <w:p w:rsidR="00CD4514" w:rsidRPr="00477F96" w:rsidRDefault="00CD4514" w:rsidP="00477F96">
      <w:pPr>
        <w:tabs>
          <w:tab w:val="left" w:pos="3216"/>
          <w:tab w:val="center" w:pos="4153"/>
        </w:tabs>
        <w:spacing w:after="0" w:line="240" w:lineRule="auto"/>
        <w:jc w:val="center"/>
        <w:rPr>
          <w:rFonts w:ascii="Times New Roman" w:hAnsi="Times New Roman" w:cs="Times New Roman"/>
          <w:b/>
          <w:bCs/>
          <w:sz w:val="28"/>
          <w:szCs w:val="28"/>
        </w:rPr>
      </w:pPr>
      <w:r w:rsidRPr="00477F96">
        <w:rPr>
          <w:rFonts w:ascii="Times New Roman" w:hAnsi="Times New Roman" w:cs="Times New Roman"/>
          <w:b/>
          <w:bCs/>
          <w:sz w:val="28"/>
          <w:szCs w:val="28"/>
        </w:rPr>
        <w:t xml:space="preserve">Real Sector </w:t>
      </w:r>
      <w:r w:rsidRPr="00477F96">
        <w:rPr>
          <w:rFonts w:ascii="Times New Roman" w:hAnsi="Times New Roman" w:cs="Times New Roman"/>
          <w:b/>
          <w:bCs/>
          <w:sz w:val="28"/>
          <w:szCs w:val="28"/>
          <w:rtl/>
        </w:rPr>
        <w:t>2018</w:t>
      </w:r>
    </w:p>
    <w:p w:rsidR="00CD4514" w:rsidRPr="00477F96" w:rsidRDefault="00CD4514" w:rsidP="00477F96">
      <w:pPr>
        <w:tabs>
          <w:tab w:val="left" w:pos="3216"/>
          <w:tab w:val="center" w:pos="4153"/>
        </w:tabs>
        <w:spacing w:after="0" w:line="240" w:lineRule="auto"/>
        <w:jc w:val="center"/>
        <w:rPr>
          <w:rFonts w:ascii="Times New Roman" w:hAnsi="Times New Roman" w:cs="Times New Roman"/>
          <w:b/>
          <w:bCs/>
          <w:sz w:val="28"/>
          <w:szCs w:val="28"/>
        </w:rPr>
      </w:pPr>
    </w:p>
    <w:p w:rsidR="00CD4514" w:rsidRPr="00477F96" w:rsidRDefault="00CD4514" w:rsidP="00477F96">
      <w:pPr>
        <w:tabs>
          <w:tab w:val="left" w:pos="3216"/>
          <w:tab w:val="center" w:pos="4153"/>
        </w:tabs>
        <w:spacing w:after="0" w:line="240" w:lineRule="auto"/>
        <w:jc w:val="center"/>
        <w:rPr>
          <w:rFonts w:ascii="Times New Roman" w:hAnsi="Times New Roman" w:cs="Times New Roman"/>
          <w:b/>
          <w:bCs/>
          <w:sz w:val="28"/>
          <w:szCs w:val="28"/>
        </w:rPr>
      </w:pPr>
    </w:p>
    <w:p w:rsidR="00CD4514" w:rsidRPr="00477F96" w:rsidRDefault="0069364B" w:rsidP="00477F96">
      <w:pPr>
        <w:tabs>
          <w:tab w:val="left" w:pos="3216"/>
          <w:tab w:val="center" w:pos="4153"/>
        </w:tabs>
        <w:spacing w:after="0" w:line="240" w:lineRule="auto"/>
        <w:jc w:val="center"/>
        <w:rPr>
          <w:rFonts w:ascii="Times New Roman" w:hAnsi="Times New Roman" w:cs="Times New Roman"/>
          <w:b/>
          <w:bCs/>
          <w:sz w:val="28"/>
          <w:szCs w:val="28"/>
        </w:rPr>
      </w:pPr>
      <w:r w:rsidRPr="0069364B">
        <w:rPr>
          <w:rFonts w:ascii="Times New Roman" w:hAnsi="Times New Roman" w:cs="Times New Roman"/>
          <w:noProof/>
          <w:sz w:val="18"/>
          <w:szCs w:val="18"/>
        </w:rPr>
        <w:pict>
          <v:shapetype id="_x0000_t109" coordsize="21600,21600" o:spt="109" path="m,l,21600r21600,l21600,xe">
            <v:stroke joinstyle="miter"/>
            <v:path gradientshapeok="t" o:connecttype="rect"/>
          </v:shapetype>
          <v:shape id="_x0000_s1033" type="#_x0000_t109" style="position:absolute;left:0;text-align:left;margin-left:-.05pt;margin-top:13.9pt;width:118.5pt;height:67.75pt;z-index:251663360" fillcolor="#be4b48">
            <v:textbox style="mso-next-textbox:#_x0000_s1033">
              <w:txbxContent>
                <w:p w:rsidR="00D97CA4" w:rsidRPr="00A04B10" w:rsidRDefault="00D97CA4" w:rsidP="002C3ABD">
                  <w:pPr>
                    <w:shd w:val="clear" w:color="auto" w:fill="BE4B48"/>
                    <w:jc w:val="center"/>
                    <w:rPr>
                      <w:rFonts w:ascii="Arial" w:hAnsi="Arial" w:cs="Arial"/>
                      <w:b/>
                      <w:bCs/>
                      <w:color w:val="FFFFFF" w:themeColor="background1"/>
                      <w:sz w:val="18"/>
                      <w:szCs w:val="18"/>
                    </w:rPr>
                  </w:pPr>
                  <w:r w:rsidRPr="00A04B10">
                    <w:rPr>
                      <w:rFonts w:ascii="Arial" w:hAnsi="Arial" w:cs="Arial"/>
                      <w:b/>
                      <w:bCs/>
                      <w:color w:val="FFFFFF" w:themeColor="background1"/>
                      <w:sz w:val="18"/>
                      <w:szCs w:val="18"/>
                    </w:rPr>
                    <w:t>GDP</w:t>
                  </w:r>
                </w:p>
                <w:p w:rsidR="00D97CA4" w:rsidRPr="00A04B10" w:rsidRDefault="00D97CA4" w:rsidP="002C3ABD">
                  <w:pPr>
                    <w:shd w:val="clear" w:color="auto" w:fill="BE4B48"/>
                    <w:jc w:val="center"/>
                    <w:rPr>
                      <w:rFonts w:ascii="Arial" w:hAnsi="Arial" w:cs="Arial"/>
                      <w:b/>
                      <w:bCs/>
                      <w:color w:val="FFFFFF" w:themeColor="background1"/>
                      <w:sz w:val="18"/>
                      <w:szCs w:val="18"/>
                    </w:rPr>
                  </w:pPr>
                  <w:r w:rsidRPr="00A04B10">
                    <w:rPr>
                      <w:rFonts w:ascii="Arial" w:hAnsi="Arial" w:cs="Arial"/>
                      <w:b/>
                      <w:bCs/>
                      <w:color w:val="FFFFFF" w:themeColor="background1"/>
                      <w:sz w:val="18"/>
                      <w:szCs w:val="18"/>
                    </w:rPr>
                    <w:t xml:space="preserve">USD </w:t>
                  </w:r>
                  <w:proofErr w:type="gramStart"/>
                  <w:r w:rsidRPr="00A04B10">
                    <w:rPr>
                      <w:rFonts w:ascii="Arial" w:hAnsi="Arial" w:cs="Arial"/>
                      <w:b/>
                      <w:bCs/>
                      <w:color w:val="FFFFFF" w:themeColor="background1"/>
                      <w:sz w:val="18"/>
                      <w:szCs w:val="18"/>
                    </w:rPr>
                    <w:t>13.8  billion</w:t>
                  </w:r>
                  <w:proofErr w:type="gramEnd"/>
                </w:p>
              </w:txbxContent>
            </v:textbox>
          </v:shape>
        </w:pict>
      </w:r>
      <w:r w:rsidRPr="0069364B">
        <w:rPr>
          <w:rFonts w:ascii="Times New Roman" w:hAnsi="Times New Roman" w:cs="Times New Roman"/>
          <w:noProof/>
          <w:sz w:val="18"/>
          <w:szCs w:val="1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5" type="#_x0000_t120" style="position:absolute;left:0;text-align:left;margin-left:319.7pt;margin-top:7.15pt;width:132.1pt;height:80pt;z-index:251665408" fillcolor="#4f81bd">
            <v:textbox style="mso-next-textbox:#_x0000_s1035">
              <w:txbxContent>
                <w:p w:rsidR="00D97CA4" w:rsidRPr="00A04B10" w:rsidRDefault="00D97CA4" w:rsidP="002C3ABD">
                  <w:pPr>
                    <w:pStyle w:val="Title"/>
                    <w:shd w:val="clear" w:color="auto" w:fill="4F81BD"/>
                    <w:bidi w:val="0"/>
                    <w:rPr>
                      <w:rFonts w:ascii="Arial" w:hAnsi="Arial" w:cs="Arial"/>
                      <w:color w:val="FFFFFF" w:themeColor="background1"/>
                      <w:sz w:val="18"/>
                      <w:szCs w:val="18"/>
                    </w:rPr>
                  </w:pPr>
                  <w:r w:rsidRPr="00A04B10">
                    <w:rPr>
                      <w:rFonts w:ascii="Arial" w:hAnsi="Arial" w:cs="Arial"/>
                      <w:color w:val="FFFFFF" w:themeColor="background1"/>
                      <w:sz w:val="18"/>
                      <w:szCs w:val="18"/>
                    </w:rPr>
                    <w:t>Unemployment rate</w:t>
                  </w:r>
                </w:p>
                <w:p w:rsidR="00D97CA4" w:rsidRPr="00A04B10" w:rsidRDefault="00D97CA4" w:rsidP="002C3ABD">
                  <w:pPr>
                    <w:pStyle w:val="Title"/>
                    <w:shd w:val="clear" w:color="auto" w:fill="4F81BD"/>
                    <w:rPr>
                      <w:rFonts w:ascii="Arial" w:hAnsi="Arial" w:cs="Arial"/>
                      <w:color w:val="FFFFFF" w:themeColor="background1"/>
                      <w:sz w:val="18"/>
                      <w:szCs w:val="18"/>
                      <w:rtl/>
                    </w:rPr>
                  </w:pPr>
                </w:p>
                <w:p w:rsidR="00D97CA4" w:rsidRPr="00A04B10" w:rsidRDefault="00D97CA4" w:rsidP="002C3ABD">
                  <w:pPr>
                    <w:shd w:val="clear" w:color="auto" w:fill="4F81BD"/>
                    <w:jc w:val="center"/>
                    <w:rPr>
                      <w:rFonts w:ascii="Arial" w:hAnsi="Arial" w:cs="Arial"/>
                      <w:color w:val="FFFFFF" w:themeColor="background1"/>
                      <w:sz w:val="18"/>
                      <w:szCs w:val="18"/>
                    </w:rPr>
                  </w:pPr>
                  <w:r w:rsidRPr="00A04B10">
                    <w:rPr>
                      <w:rFonts w:ascii="Arial" w:hAnsi="Arial" w:cs="Arial" w:hint="cs"/>
                      <w:b/>
                      <w:bCs/>
                      <w:color w:val="FFFFFF" w:themeColor="background1"/>
                      <w:sz w:val="18"/>
                      <w:szCs w:val="18"/>
                      <w:rtl/>
                    </w:rPr>
                    <w:t>31.4</w:t>
                  </w:r>
                  <w:r w:rsidRPr="00A04B10">
                    <w:rPr>
                      <w:rFonts w:ascii="Arial" w:hAnsi="Arial" w:cs="Arial"/>
                      <w:b/>
                      <w:bCs/>
                      <w:color w:val="FFFFFF" w:themeColor="background1"/>
                      <w:sz w:val="18"/>
                      <w:szCs w:val="18"/>
                      <w:rtl/>
                    </w:rPr>
                    <w:t>%</w:t>
                  </w:r>
                </w:p>
                <w:p w:rsidR="00D97CA4" w:rsidRPr="00E751B9" w:rsidRDefault="00D97CA4" w:rsidP="002C3ABD">
                  <w:pPr>
                    <w:shd w:val="clear" w:color="auto" w:fill="4F81BD"/>
                    <w:rPr>
                      <w:sz w:val="20"/>
                      <w:rtl/>
                    </w:rPr>
                  </w:pPr>
                </w:p>
              </w:txbxContent>
            </v:textbox>
          </v:shape>
        </w:pict>
      </w:r>
    </w:p>
    <w:p w:rsidR="00CD4514" w:rsidRPr="00477F96" w:rsidRDefault="00CD4514" w:rsidP="00477F96">
      <w:pPr>
        <w:tabs>
          <w:tab w:val="left" w:pos="3216"/>
          <w:tab w:val="center" w:pos="4153"/>
        </w:tabs>
        <w:spacing w:after="0" w:line="240" w:lineRule="auto"/>
        <w:jc w:val="center"/>
        <w:rPr>
          <w:rFonts w:ascii="Times New Roman" w:hAnsi="Times New Roman" w:cs="Times New Roman"/>
          <w:b/>
          <w:bCs/>
          <w:sz w:val="28"/>
          <w:szCs w:val="28"/>
        </w:rPr>
      </w:pPr>
    </w:p>
    <w:p w:rsidR="00CD4514" w:rsidRPr="00477F96" w:rsidRDefault="00CD4514" w:rsidP="00477F96">
      <w:pPr>
        <w:tabs>
          <w:tab w:val="left" w:pos="3216"/>
          <w:tab w:val="center" w:pos="4153"/>
        </w:tabs>
        <w:spacing w:after="0" w:line="240" w:lineRule="auto"/>
        <w:jc w:val="center"/>
        <w:rPr>
          <w:rFonts w:ascii="Times New Roman" w:hAnsi="Times New Roman" w:cs="Times New Roman"/>
          <w:b/>
          <w:bCs/>
          <w:sz w:val="28"/>
          <w:szCs w:val="28"/>
          <w:rtl/>
        </w:rPr>
      </w:pPr>
    </w:p>
    <w:p w:rsidR="00CD4514" w:rsidRPr="00477F96" w:rsidRDefault="0069364B" w:rsidP="00477F96">
      <w:pPr>
        <w:spacing w:after="0" w:line="240" w:lineRule="auto"/>
        <w:jc w:val="mediumKashida"/>
        <w:rPr>
          <w:rFonts w:ascii="Times New Roman" w:hAnsi="Times New Roman" w:cs="Times New Roman"/>
          <w:sz w:val="18"/>
          <w:szCs w:val="18"/>
        </w:rPr>
      </w:pPr>
      <w:r w:rsidRPr="0069364B">
        <w:rPr>
          <w:rFonts w:ascii="Times New Roman" w:hAnsi="Times New Roman" w:cs="Times New Roman"/>
          <w:noProof/>
        </w:rPr>
        <w:pict>
          <v:shape id="_x0000_s1040" type="#_x0000_t120" style="position:absolute;left:0;text-align:left;margin-left:153.25pt;margin-top:6.55pt;width:146.5pt;height:94.25pt;z-index:251669504" fillcolor="#4f81bd">
            <v:textbox style="mso-next-textbox:#_x0000_s1040">
              <w:txbxContent>
                <w:p w:rsidR="00254059" w:rsidRDefault="00254059" w:rsidP="00254059">
                  <w:pPr>
                    <w:pStyle w:val="Title"/>
                    <w:shd w:val="clear" w:color="auto" w:fill="4F81BD"/>
                    <w:rPr>
                      <w:rFonts w:ascii="Arial" w:hAnsi="Arial" w:cs="Arial"/>
                      <w:color w:val="FFFFFF" w:themeColor="background1"/>
                      <w:sz w:val="18"/>
                      <w:szCs w:val="18"/>
                    </w:rPr>
                  </w:pPr>
                  <w:r w:rsidRPr="00254059">
                    <w:rPr>
                      <w:rFonts w:ascii="Arial" w:hAnsi="Arial" w:cs="Arial"/>
                      <w:color w:val="FFFFFF" w:themeColor="background1"/>
                      <w:sz w:val="18"/>
                      <w:szCs w:val="18"/>
                    </w:rPr>
                    <w:t>Percentage contribution</w:t>
                  </w:r>
                  <w:r>
                    <w:rPr>
                      <w:rFonts w:ascii="Arial" w:hAnsi="Arial" w:cs="Arial"/>
                      <w:color w:val="FFFFFF" w:themeColor="background1"/>
                      <w:sz w:val="18"/>
                      <w:szCs w:val="18"/>
                    </w:rPr>
                    <w:t xml:space="preserve"> </w:t>
                  </w:r>
                  <w:r w:rsidRPr="00254059">
                    <w:rPr>
                      <w:rFonts w:ascii="Arial" w:hAnsi="Arial" w:cs="Arial"/>
                      <w:color w:val="FFFFFF" w:themeColor="background1"/>
                      <w:sz w:val="18"/>
                      <w:szCs w:val="18"/>
                    </w:rPr>
                    <w:t xml:space="preserve">of </w:t>
                  </w:r>
                  <w:r>
                    <w:rPr>
                      <w:rFonts w:ascii="Arial" w:hAnsi="Arial" w:cs="Arial"/>
                      <w:color w:val="FFFFFF" w:themeColor="background1"/>
                      <w:sz w:val="18"/>
                      <w:szCs w:val="18"/>
                    </w:rPr>
                    <w:t>final consumption</w:t>
                  </w:r>
                  <w:r w:rsidRPr="00254059">
                    <w:rPr>
                      <w:rFonts w:ascii="Arial" w:hAnsi="Arial" w:cs="Arial"/>
                      <w:color w:val="FFFFFF" w:themeColor="background1"/>
                      <w:sz w:val="18"/>
                      <w:szCs w:val="18"/>
                    </w:rPr>
                    <w:t xml:space="preserve"> to GDP</w:t>
                  </w:r>
                </w:p>
                <w:p w:rsidR="00254059" w:rsidRDefault="00254059" w:rsidP="00254059">
                  <w:pPr>
                    <w:pStyle w:val="Title"/>
                    <w:shd w:val="clear" w:color="auto" w:fill="4F81BD"/>
                    <w:rPr>
                      <w:rFonts w:ascii="Arial" w:hAnsi="Arial" w:cs="Arial"/>
                      <w:color w:val="FFFFFF" w:themeColor="background1"/>
                      <w:sz w:val="18"/>
                      <w:szCs w:val="18"/>
                    </w:rPr>
                  </w:pPr>
                </w:p>
                <w:p w:rsidR="00254059" w:rsidRPr="00A04B10" w:rsidRDefault="00254059" w:rsidP="00254059">
                  <w:pPr>
                    <w:shd w:val="clear" w:color="auto" w:fill="4F81BD"/>
                    <w:jc w:val="center"/>
                    <w:rPr>
                      <w:rFonts w:ascii="Arial" w:hAnsi="Arial" w:cs="Arial"/>
                      <w:color w:val="FFFFFF" w:themeColor="background1"/>
                      <w:sz w:val="18"/>
                      <w:szCs w:val="18"/>
                    </w:rPr>
                  </w:pPr>
                  <w:r>
                    <w:rPr>
                      <w:rFonts w:ascii="Arial" w:hAnsi="Arial" w:cs="Arial"/>
                      <w:b/>
                      <w:bCs/>
                      <w:color w:val="FFFFFF" w:themeColor="background1"/>
                      <w:sz w:val="18"/>
                      <w:szCs w:val="18"/>
                    </w:rPr>
                    <w:t>%114</w:t>
                  </w:r>
                </w:p>
                <w:p w:rsidR="00254059" w:rsidRPr="00E751B9" w:rsidRDefault="00254059" w:rsidP="00254059">
                  <w:pPr>
                    <w:shd w:val="clear" w:color="auto" w:fill="4F81BD"/>
                    <w:rPr>
                      <w:sz w:val="20"/>
                      <w:rtl/>
                    </w:rPr>
                  </w:pPr>
                </w:p>
              </w:txbxContent>
            </v:textbox>
          </v:shape>
        </w:pict>
      </w:r>
    </w:p>
    <w:p w:rsidR="00B14658" w:rsidRPr="00477F96" w:rsidRDefault="0069364B" w:rsidP="00477F96">
      <w:pPr>
        <w:spacing w:after="0" w:line="240" w:lineRule="auto"/>
        <w:jc w:val="center"/>
        <w:rPr>
          <w:rFonts w:ascii="Times New Roman" w:hAnsi="Times New Roman" w:cs="Times New Roman"/>
          <w:lang w:val="en-US"/>
        </w:rPr>
      </w:pPr>
      <w:r>
        <w:rPr>
          <w:rFonts w:ascii="Times New Roman" w:hAnsi="Times New Roman" w:cs="Times New Roman"/>
          <w:noProof/>
        </w:rPr>
        <w:pict>
          <v:shape id="_x0000_s1032" type="#_x0000_t109" style="position:absolute;left:0;text-align:left;margin-left:-1.35pt;margin-top:227.9pt;width:118.5pt;height:66pt;z-index:251662336" fillcolor="#4f81bd">
            <v:textbox style="mso-next-textbox:#_x0000_s1032">
              <w:txbxContent>
                <w:p w:rsidR="00D97CA4" w:rsidRPr="00A04B10" w:rsidRDefault="00D97CA4" w:rsidP="002C3ABD">
                  <w:pPr>
                    <w:pStyle w:val="Title"/>
                    <w:shd w:val="clear" w:color="auto" w:fill="4F81BD"/>
                    <w:bidi w:val="0"/>
                    <w:rPr>
                      <w:rFonts w:ascii="Arial" w:hAnsi="Arial" w:cs="Arial"/>
                      <w:color w:val="FFFFFF" w:themeColor="background1"/>
                      <w:sz w:val="18"/>
                      <w:szCs w:val="18"/>
                    </w:rPr>
                  </w:pPr>
                  <w:r w:rsidRPr="00A04B10">
                    <w:rPr>
                      <w:rFonts w:ascii="Arial" w:hAnsi="Arial" w:cs="Arial"/>
                      <w:color w:val="FFFFFF" w:themeColor="background1"/>
                      <w:sz w:val="18"/>
                      <w:szCs w:val="18"/>
                    </w:rPr>
                    <w:t xml:space="preserve">Savings </w:t>
                  </w:r>
                </w:p>
                <w:p w:rsidR="00D97CA4" w:rsidRPr="00A04B10" w:rsidRDefault="00D97CA4" w:rsidP="002C3ABD">
                  <w:pPr>
                    <w:pStyle w:val="Title"/>
                    <w:shd w:val="clear" w:color="auto" w:fill="4F81BD"/>
                    <w:rPr>
                      <w:rFonts w:ascii="Arial" w:hAnsi="Arial" w:cs="Arial"/>
                      <w:color w:val="FFFFFF" w:themeColor="background1"/>
                      <w:sz w:val="18"/>
                      <w:szCs w:val="18"/>
                      <w:rtl/>
                    </w:rPr>
                  </w:pPr>
                </w:p>
                <w:p w:rsidR="00D97CA4" w:rsidRPr="00A04B10" w:rsidRDefault="00D97CA4" w:rsidP="002C3ABD">
                  <w:pPr>
                    <w:shd w:val="clear" w:color="auto" w:fill="4F81BD"/>
                    <w:jc w:val="center"/>
                    <w:rPr>
                      <w:rFonts w:ascii="Arial" w:hAnsi="Arial" w:cs="Arial"/>
                      <w:b/>
                      <w:bCs/>
                      <w:color w:val="FFFFFF" w:themeColor="background1"/>
                      <w:sz w:val="18"/>
                      <w:szCs w:val="18"/>
                    </w:rPr>
                  </w:pPr>
                  <w:r w:rsidRPr="00A04B10">
                    <w:rPr>
                      <w:rFonts w:ascii="Arial" w:hAnsi="Arial" w:cs="Arial"/>
                      <w:b/>
                      <w:bCs/>
                      <w:color w:val="FFFFFF" w:themeColor="background1"/>
                      <w:sz w:val="18"/>
                      <w:szCs w:val="18"/>
                    </w:rPr>
                    <w:t xml:space="preserve">USD 1.6 billion </w:t>
                  </w:r>
                </w:p>
                <w:p w:rsidR="00D97CA4" w:rsidRDefault="00D97CA4" w:rsidP="002C3ABD">
                  <w:pPr>
                    <w:shd w:val="clear" w:color="auto" w:fill="4F81BD"/>
                    <w:jc w:val="center"/>
                  </w:pPr>
                </w:p>
              </w:txbxContent>
            </v:textbox>
          </v:shape>
        </w:pict>
      </w:r>
      <w:r>
        <w:rPr>
          <w:rFonts w:ascii="Times New Roman" w:hAnsi="Times New Roman" w:cs="Times New Roman"/>
          <w:noProof/>
        </w:rPr>
        <w:pict>
          <v:shape id="_x0000_s1037" type="#_x0000_t109" style="position:absolute;left:0;text-align:left;margin-left:-1.35pt;margin-top:127.8pt;width:118.5pt;height:67.95pt;z-index:251667456" fillcolor="#be4b48">
            <v:textbox style="mso-next-textbox:#_x0000_s1037">
              <w:txbxContent>
                <w:p w:rsidR="00D97CA4" w:rsidRPr="00A04B10" w:rsidRDefault="00D97CA4" w:rsidP="002C3ABD">
                  <w:pPr>
                    <w:pStyle w:val="Title"/>
                    <w:shd w:val="clear" w:color="auto" w:fill="BE4B48"/>
                    <w:bidi w:val="0"/>
                    <w:rPr>
                      <w:rFonts w:ascii="Arial" w:hAnsi="Arial" w:cs="Arial"/>
                      <w:color w:val="FFFFFF" w:themeColor="background1"/>
                      <w:sz w:val="18"/>
                      <w:szCs w:val="18"/>
                    </w:rPr>
                  </w:pPr>
                  <w:r w:rsidRPr="00A04B10">
                    <w:rPr>
                      <w:rFonts w:ascii="Arial" w:hAnsi="Arial" w:cs="Arial"/>
                      <w:color w:val="FFFFFF" w:themeColor="background1"/>
                      <w:sz w:val="18"/>
                      <w:szCs w:val="18"/>
                    </w:rPr>
                    <w:t xml:space="preserve">GDP per capita </w:t>
                  </w:r>
                </w:p>
                <w:p w:rsidR="00D97CA4" w:rsidRPr="00A04B10" w:rsidRDefault="00D97CA4" w:rsidP="002C3ABD">
                  <w:pPr>
                    <w:pStyle w:val="Title"/>
                    <w:shd w:val="clear" w:color="auto" w:fill="BE4B48"/>
                    <w:bidi w:val="0"/>
                    <w:rPr>
                      <w:rFonts w:ascii="Arial" w:hAnsi="Arial" w:cs="Arial"/>
                      <w:color w:val="FFFFFF" w:themeColor="background1"/>
                      <w:sz w:val="18"/>
                      <w:szCs w:val="18"/>
                    </w:rPr>
                  </w:pPr>
                  <w:r w:rsidRPr="00A04B10">
                    <w:rPr>
                      <w:rFonts w:ascii="Arial" w:hAnsi="Arial" w:cs="Arial"/>
                      <w:color w:val="FFFFFF" w:themeColor="background1"/>
                      <w:sz w:val="18"/>
                      <w:szCs w:val="18"/>
                    </w:rPr>
                    <w:t xml:space="preserve">      </w:t>
                  </w:r>
                </w:p>
                <w:p w:rsidR="00D97CA4" w:rsidRPr="00A04B10" w:rsidRDefault="00D97CA4" w:rsidP="002C3ABD">
                  <w:pPr>
                    <w:shd w:val="clear" w:color="auto" w:fill="BE4B48"/>
                    <w:bidi/>
                    <w:jc w:val="center"/>
                    <w:rPr>
                      <w:b/>
                      <w:bCs/>
                      <w:sz w:val="18"/>
                      <w:szCs w:val="18"/>
                    </w:rPr>
                  </w:pPr>
                  <w:r w:rsidRPr="00A04B10">
                    <w:rPr>
                      <w:rFonts w:ascii="Arial" w:hAnsi="Arial" w:cs="Arial"/>
                      <w:b/>
                      <w:bCs/>
                      <w:color w:val="FFFFFF" w:themeColor="background1"/>
                      <w:sz w:val="18"/>
                      <w:szCs w:val="18"/>
                    </w:rPr>
                    <w:t>USD 3.0 Thousand</w:t>
                  </w:r>
                </w:p>
              </w:txbxContent>
            </v:textbox>
          </v:shape>
        </w:pict>
      </w:r>
      <w:r>
        <w:rPr>
          <w:rFonts w:ascii="Times New Roman" w:hAnsi="Times New Roman" w:cs="Times New Roman"/>
          <w:noProof/>
        </w:rPr>
        <w:pict>
          <v:shape id="_x0000_s1034" type="#_x0000_t109" style="position:absolute;left:0;text-align:left;margin-left:-.05pt;margin-top:37.5pt;width:118.5pt;height:65pt;z-index:251664384" fillcolor="#4f81bd">
            <v:textbox style="mso-next-textbox:#_x0000_s1034">
              <w:txbxContent>
                <w:p w:rsidR="00D97CA4" w:rsidRPr="00A04B10" w:rsidRDefault="00D97CA4" w:rsidP="002C3ABD">
                  <w:pPr>
                    <w:pStyle w:val="Title"/>
                    <w:shd w:val="clear" w:color="auto" w:fill="4F81BD"/>
                    <w:bidi w:val="0"/>
                    <w:rPr>
                      <w:rFonts w:ascii="Arial" w:hAnsi="Arial" w:cs="Arial"/>
                      <w:color w:val="FFFFFF" w:themeColor="background1"/>
                      <w:sz w:val="18"/>
                      <w:szCs w:val="18"/>
                    </w:rPr>
                  </w:pPr>
                  <w:r w:rsidRPr="00A04B10">
                    <w:rPr>
                      <w:rFonts w:ascii="Arial" w:hAnsi="Arial" w:cs="Arial"/>
                      <w:color w:val="FFFFFF" w:themeColor="background1"/>
                      <w:sz w:val="18"/>
                      <w:szCs w:val="18"/>
                    </w:rPr>
                    <w:t>Investment</w:t>
                  </w:r>
                </w:p>
                <w:p w:rsidR="00D97CA4" w:rsidRPr="00A04B10" w:rsidRDefault="00D97CA4" w:rsidP="002C3ABD">
                  <w:pPr>
                    <w:pStyle w:val="Title"/>
                    <w:shd w:val="clear" w:color="auto" w:fill="4F81BD"/>
                    <w:rPr>
                      <w:rFonts w:ascii="Arial" w:hAnsi="Arial" w:cs="Arial"/>
                      <w:color w:val="FFFFFF" w:themeColor="background1"/>
                      <w:sz w:val="18"/>
                      <w:szCs w:val="18"/>
                      <w:rtl/>
                    </w:rPr>
                  </w:pPr>
                </w:p>
                <w:p w:rsidR="00D97CA4" w:rsidRPr="00A04B10" w:rsidRDefault="00D97CA4" w:rsidP="002C3ABD">
                  <w:pPr>
                    <w:shd w:val="clear" w:color="auto" w:fill="4F81BD"/>
                    <w:jc w:val="center"/>
                    <w:rPr>
                      <w:sz w:val="18"/>
                      <w:szCs w:val="18"/>
                    </w:rPr>
                  </w:pPr>
                  <w:r w:rsidRPr="00A04B10">
                    <w:rPr>
                      <w:rFonts w:ascii="Arial" w:hAnsi="Arial" w:cs="Arial"/>
                      <w:b/>
                      <w:bCs/>
                      <w:color w:val="FFFFFF" w:themeColor="background1"/>
                      <w:sz w:val="18"/>
                      <w:szCs w:val="18"/>
                    </w:rPr>
                    <w:t>USD 3.3 billion</w:t>
                  </w:r>
                </w:p>
              </w:txbxContent>
            </v:textbox>
          </v:shape>
        </w:pict>
      </w:r>
      <w:r>
        <w:rPr>
          <w:rFonts w:ascii="Times New Roman" w:hAnsi="Times New Roman" w:cs="Times New Roman"/>
          <w:noProof/>
        </w:rPr>
        <w:pict>
          <v:shape id="_x0000_s1038" type="#_x0000_t120" style="position:absolute;left:0;text-align:left;margin-left:324.1pt;margin-top:127.8pt;width:131.1pt;height:71.2pt;z-index:251668480" fillcolor="#4f81bd">
            <v:textbox style="mso-next-textbox:#_x0000_s1038">
              <w:txbxContent>
                <w:p w:rsidR="00D97CA4" w:rsidRPr="00A04B10" w:rsidRDefault="00D97CA4" w:rsidP="002C3ABD">
                  <w:pPr>
                    <w:pStyle w:val="Title"/>
                    <w:shd w:val="clear" w:color="auto" w:fill="4F81BD"/>
                    <w:bidi w:val="0"/>
                    <w:rPr>
                      <w:rFonts w:ascii="Arial" w:hAnsi="Arial" w:cs="Arial"/>
                      <w:color w:val="FFFFFF" w:themeColor="background1"/>
                      <w:sz w:val="18"/>
                      <w:szCs w:val="18"/>
                    </w:rPr>
                  </w:pPr>
                  <w:r w:rsidRPr="00A04B10">
                    <w:rPr>
                      <w:rFonts w:ascii="Arial" w:hAnsi="Arial" w:cs="Arial"/>
                      <w:color w:val="FFFFFF" w:themeColor="background1"/>
                      <w:sz w:val="18"/>
                      <w:szCs w:val="18"/>
                    </w:rPr>
                    <w:t>Real wages average</w:t>
                  </w:r>
                </w:p>
                <w:p w:rsidR="00D97CA4" w:rsidRPr="00A04B10" w:rsidRDefault="00D97CA4" w:rsidP="002C3ABD">
                  <w:pPr>
                    <w:pStyle w:val="Title"/>
                    <w:shd w:val="clear" w:color="auto" w:fill="4F81BD"/>
                    <w:bidi w:val="0"/>
                    <w:rPr>
                      <w:rFonts w:ascii="Arial" w:hAnsi="Arial" w:cs="Arial"/>
                      <w:color w:val="FFFFFF" w:themeColor="background1"/>
                      <w:sz w:val="18"/>
                      <w:szCs w:val="18"/>
                    </w:rPr>
                  </w:pPr>
                  <w:r w:rsidRPr="00A04B10">
                    <w:rPr>
                      <w:rFonts w:ascii="Arial" w:hAnsi="Arial" w:cs="Arial"/>
                      <w:color w:val="FFFFFF" w:themeColor="background1"/>
                      <w:sz w:val="18"/>
                      <w:szCs w:val="18"/>
                    </w:rPr>
                    <w:t xml:space="preserve"> </w:t>
                  </w:r>
                </w:p>
                <w:p w:rsidR="00D97CA4" w:rsidRPr="00A04B10" w:rsidRDefault="00D97CA4" w:rsidP="002C3ABD">
                  <w:pPr>
                    <w:pStyle w:val="Title"/>
                    <w:shd w:val="clear" w:color="auto" w:fill="4F81BD"/>
                    <w:bidi w:val="0"/>
                    <w:rPr>
                      <w:rFonts w:ascii="Arial" w:hAnsi="Arial" w:cs="Arial"/>
                      <w:color w:val="FFFFFF" w:themeColor="background1"/>
                      <w:sz w:val="18"/>
                      <w:szCs w:val="18"/>
                    </w:rPr>
                  </w:pPr>
                  <w:r w:rsidRPr="00A04B10">
                    <w:rPr>
                      <w:rFonts w:ascii="Arial" w:hAnsi="Arial" w:cs="Arial"/>
                      <w:color w:val="FFFFFF" w:themeColor="background1"/>
                      <w:sz w:val="18"/>
                      <w:szCs w:val="18"/>
                    </w:rPr>
                    <w:t>NIS 107.3</w:t>
                  </w:r>
                </w:p>
                <w:p w:rsidR="00D97CA4" w:rsidRPr="00E751B9" w:rsidRDefault="00D97CA4" w:rsidP="002C3ABD">
                  <w:pPr>
                    <w:shd w:val="clear" w:color="auto" w:fill="4F81BD"/>
                  </w:pPr>
                </w:p>
              </w:txbxContent>
            </v:textbox>
          </v:shape>
        </w:pict>
      </w:r>
      <w:r>
        <w:rPr>
          <w:rFonts w:ascii="Times New Roman" w:hAnsi="Times New Roman" w:cs="Times New Roman"/>
          <w:noProof/>
        </w:rPr>
        <w:pict>
          <v:shape id="_x0000_s1036" type="#_x0000_t120" style="position:absolute;left:0;text-align:left;margin-left:324.1pt;margin-top:41pt;width:131.1pt;height:69.5pt;z-index:251666432" fillcolor="#be4b48">
            <v:textbox style="mso-next-textbox:#_x0000_s1036">
              <w:txbxContent>
                <w:p w:rsidR="00D97CA4" w:rsidRPr="00A04B10" w:rsidRDefault="00D97CA4" w:rsidP="002C3ABD">
                  <w:pPr>
                    <w:pStyle w:val="Title"/>
                    <w:shd w:val="clear" w:color="auto" w:fill="BE4B48"/>
                    <w:bidi w:val="0"/>
                    <w:rPr>
                      <w:rFonts w:ascii="Arial" w:hAnsi="Arial" w:cs="Arial"/>
                      <w:color w:val="FFFFFF" w:themeColor="background1"/>
                      <w:sz w:val="18"/>
                      <w:szCs w:val="18"/>
                      <w:rtl/>
                    </w:rPr>
                  </w:pPr>
                  <w:proofErr w:type="spellStart"/>
                  <w:r w:rsidRPr="00A04B10">
                    <w:rPr>
                      <w:rFonts w:ascii="Arial" w:hAnsi="Arial" w:cs="Arial"/>
                      <w:color w:val="FFFFFF" w:themeColor="background1"/>
                      <w:sz w:val="18"/>
                      <w:szCs w:val="18"/>
                    </w:rPr>
                    <w:t>Labor</w:t>
                  </w:r>
                  <w:proofErr w:type="spellEnd"/>
                  <w:r w:rsidRPr="00A04B10">
                    <w:rPr>
                      <w:rFonts w:ascii="Arial" w:hAnsi="Arial" w:cs="Arial"/>
                      <w:color w:val="FFFFFF" w:themeColor="background1"/>
                      <w:sz w:val="18"/>
                      <w:szCs w:val="18"/>
                    </w:rPr>
                    <w:t xml:space="preserve"> force Participation rate</w:t>
                  </w:r>
                  <w:r w:rsidRPr="00A04B10">
                    <w:rPr>
                      <w:rFonts w:ascii="Arial" w:hAnsi="Arial" w:cs="Arial"/>
                      <w:sz w:val="18"/>
                      <w:szCs w:val="18"/>
                    </w:rPr>
                    <w:t xml:space="preserve"> </w:t>
                  </w:r>
                </w:p>
                <w:p w:rsidR="00D97CA4" w:rsidRPr="00A04B10" w:rsidRDefault="00D97CA4" w:rsidP="002C3ABD">
                  <w:pPr>
                    <w:pStyle w:val="Title"/>
                    <w:shd w:val="clear" w:color="auto" w:fill="BE4B48"/>
                    <w:rPr>
                      <w:rFonts w:ascii="Arial" w:hAnsi="Arial" w:cs="Arial"/>
                      <w:color w:val="FFFFFF" w:themeColor="background1"/>
                      <w:sz w:val="18"/>
                      <w:szCs w:val="18"/>
                      <w:rtl/>
                    </w:rPr>
                  </w:pPr>
                </w:p>
                <w:p w:rsidR="00D97CA4" w:rsidRPr="00CF7F1D" w:rsidRDefault="00D97CA4" w:rsidP="002C3ABD">
                  <w:pPr>
                    <w:pStyle w:val="Title"/>
                    <w:shd w:val="clear" w:color="auto" w:fill="BE4B48"/>
                    <w:rPr>
                      <w:rFonts w:ascii="Arial" w:hAnsi="Arial" w:cs="Arial"/>
                      <w:color w:val="FFFFFF" w:themeColor="background1"/>
                      <w:sz w:val="20"/>
                      <w:szCs w:val="20"/>
                      <w:rtl/>
                    </w:rPr>
                  </w:pPr>
                  <w:r w:rsidRPr="00A04B10">
                    <w:rPr>
                      <w:rFonts w:ascii="Arial" w:hAnsi="Arial" w:cs="Arial"/>
                      <w:color w:val="FFFFFF" w:themeColor="background1"/>
                      <w:sz w:val="18"/>
                      <w:szCs w:val="18"/>
                      <w:rtl/>
                    </w:rPr>
                    <w:t xml:space="preserve"> </w:t>
                  </w:r>
                  <w:r w:rsidRPr="00A04B10">
                    <w:rPr>
                      <w:rFonts w:ascii="Arial" w:hAnsi="Arial" w:cs="Arial" w:hint="cs"/>
                      <w:color w:val="FFFFFF" w:themeColor="background1"/>
                      <w:sz w:val="18"/>
                      <w:szCs w:val="18"/>
                      <w:rtl/>
                    </w:rPr>
                    <w:t>47</w:t>
                  </w:r>
                  <w:r w:rsidRPr="00A04B10">
                    <w:rPr>
                      <w:rFonts w:ascii="Arial" w:hAnsi="Arial" w:cs="Arial"/>
                      <w:color w:val="FFFFFF" w:themeColor="background1"/>
                      <w:sz w:val="18"/>
                      <w:szCs w:val="18"/>
                      <w:rtl/>
                    </w:rPr>
                    <w:t>.2%</w:t>
                  </w:r>
                </w:p>
                <w:p w:rsidR="00D97CA4" w:rsidRDefault="00D97CA4" w:rsidP="002C3ABD">
                  <w:pPr>
                    <w:pStyle w:val="Title"/>
                    <w:shd w:val="clear" w:color="auto" w:fill="BE4B48"/>
                    <w:rPr>
                      <w:rFonts w:ascii="Arial" w:hAnsi="Arial" w:cs="Arial"/>
                      <w:color w:val="FFFFFF" w:themeColor="background1"/>
                      <w:sz w:val="20"/>
                      <w:szCs w:val="20"/>
                    </w:rPr>
                  </w:pPr>
                </w:p>
                <w:p w:rsidR="00D97CA4" w:rsidRPr="0091561F" w:rsidRDefault="00D97CA4" w:rsidP="002C3ABD">
                  <w:pPr>
                    <w:shd w:val="clear" w:color="auto" w:fill="BE4B48"/>
                    <w:rPr>
                      <w:szCs w:val="20"/>
                    </w:rPr>
                  </w:pPr>
                </w:p>
              </w:txbxContent>
            </v:textbox>
          </v:shape>
        </w:pict>
      </w:r>
      <w:r>
        <w:rPr>
          <w:rFonts w:ascii="Times New Roman" w:hAnsi="Times New Roman" w:cs="Times New Roman"/>
          <w:noProof/>
        </w:rPr>
        <w:pict>
          <v:shape id="_x0000_s1031" type="#_x0000_t120" style="position:absolute;left:0;text-align:left;margin-left:329.45pt;margin-top:224.55pt;width:122.35pt;height:72.5pt;z-index:251661312" fillcolor="#be4b48">
            <v:textbox style="mso-next-textbox:#_x0000_s1031">
              <w:txbxContent>
                <w:p w:rsidR="00D97CA4" w:rsidRPr="00A04B10" w:rsidRDefault="00D97CA4" w:rsidP="002C3ABD">
                  <w:pPr>
                    <w:pStyle w:val="Title"/>
                    <w:shd w:val="clear" w:color="auto" w:fill="BE4B48"/>
                    <w:bidi w:val="0"/>
                    <w:rPr>
                      <w:rFonts w:ascii="Arial" w:hAnsi="Arial" w:cs="Arial"/>
                      <w:color w:val="FFFFFF" w:themeColor="background1"/>
                      <w:sz w:val="18"/>
                      <w:szCs w:val="18"/>
                    </w:rPr>
                  </w:pPr>
                  <w:r w:rsidRPr="00A04B10">
                    <w:rPr>
                      <w:rFonts w:ascii="Arial" w:hAnsi="Arial" w:cs="Arial"/>
                      <w:color w:val="FFFFFF" w:themeColor="background1"/>
                      <w:sz w:val="18"/>
                      <w:szCs w:val="18"/>
                    </w:rPr>
                    <w:t>Inflation</w:t>
                  </w:r>
                </w:p>
                <w:p w:rsidR="00D97CA4" w:rsidRPr="00A04B10" w:rsidRDefault="00D97CA4" w:rsidP="002C3ABD">
                  <w:pPr>
                    <w:pStyle w:val="Title"/>
                    <w:shd w:val="clear" w:color="auto" w:fill="BE4B48"/>
                    <w:rPr>
                      <w:rFonts w:ascii="Arial" w:hAnsi="Arial" w:cs="Arial"/>
                      <w:color w:val="FFFFFF" w:themeColor="background1"/>
                      <w:sz w:val="18"/>
                      <w:szCs w:val="18"/>
                      <w:rtl/>
                    </w:rPr>
                  </w:pPr>
                </w:p>
                <w:p w:rsidR="00D97CA4" w:rsidRPr="00A04B10" w:rsidRDefault="00D97CA4" w:rsidP="002C3ABD">
                  <w:pPr>
                    <w:shd w:val="clear" w:color="auto" w:fill="BE4B48"/>
                    <w:jc w:val="center"/>
                    <w:rPr>
                      <w:color w:val="FFFFFF" w:themeColor="background1"/>
                      <w:sz w:val="18"/>
                      <w:szCs w:val="18"/>
                    </w:rPr>
                  </w:pPr>
                  <w:r w:rsidRPr="00A04B10">
                    <w:rPr>
                      <w:rFonts w:ascii="Arial" w:hAnsi="Arial" w:cs="Arial"/>
                      <w:b/>
                      <w:bCs/>
                      <w:color w:val="FFFFFF" w:themeColor="background1"/>
                      <w:sz w:val="18"/>
                      <w:szCs w:val="18"/>
                      <w:rtl/>
                    </w:rPr>
                    <w:t>-0.19%</w:t>
                  </w:r>
                </w:p>
              </w:txbxContent>
            </v:textbox>
          </v:shape>
        </w:pict>
      </w:r>
    </w:p>
    <w:p w:rsidR="00CD4514" w:rsidRPr="00477F96" w:rsidRDefault="00CD4514" w:rsidP="00477F96">
      <w:pPr>
        <w:spacing w:after="0" w:line="240" w:lineRule="auto"/>
        <w:jc w:val="center"/>
        <w:rPr>
          <w:rFonts w:ascii="Times New Roman" w:hAnsi="Times New Roman" w:cs="Times New Roman"/>
          <w:lang w:val="en-US"/>
        </w:rPr>
      </w:pPr>
    </w:p>
    <w:p w:rsidR="00CD4514" w:rsidRPr="00477F96" w:rsidRDefault="0069364B" w:rsidP="00477F96">
      <w:pPr>
        <w:spacing w:after="0" w:line="240" w:lineRule="auto"/>
        <w:rPr>
          <w:rFonts w:ascii="Times New Roman" w:hAnsi="Times New Roman" w:cs="Times New Roman"/>
          <w:lang w:val="en-US"/>
        </w:rPr>
      </w:pPr>
      <w:r>
        <w:rPr>
          <w:rFonts w:ascii="Times New Roman" w:hAnsi="Times New Roman" w:cs="Times New Roman"/>
          <w:noProof/>
        </w:rPr>
        <w:pict>
          <v:shape id="_x0000_s1041" type="#_x0000_t120" style="position:absolute;margin-left:168.65pt;margin-top:161.55pt;width:131.1pt;height:80.15pt;z-index:251670528" fillcolor="#be4b48">
            <v:textbox style="mso-next-textbox:#_x0000_s1041">
              <w:txbxContent>
                <w:p w:rsidR="00254059" w:rsidRDefault="00254059" w:rsidP="00254059">
                  <w:pPr>
                    <w:pStyle w:val="Title"/>
                    <w:shd w:val="clear" w:color="auto" w:fill="BE4B48"/>
                    <w:bidi w:val="0"/>
                    <w:rPr>
                      <w:rFonts w:ascii="Arial" w:hAnsi="Arial" w:cs="Arial"/>
                      <w:color w:val="FFFFFF" w:themeColor="background1"/>
                      <w:sz w:val="18"/>
                      <w:szCs w:val="18"/>
                    </w:rPr>
                  </w:pPr>
                  <w:r>
                    <w:rPr>
                      <w:rFonts w:ascii="Arial" w:hAnsi="Arial" w:cs="Arial"/>
                      <w:color w:val="FFFFFF" w:themeColor="background1"/>
                      <w:sz w:val="18"/>
                      <w:szCs w:val="18"/>
                    </w:rPr>
                    <w:t>Percentage contribution of Investment to GDP</w:t>
                  </w:r>
                </w:p>
                <w:p w:rsidR="00254059" w:rsidRDefault="00254059" w:rsidP="00254059">
                  <w:pPr>
                    <w:pStyle w:val="Title"/>
                    <w:shd w:val="clear" w:color="auto" w:fill="BE4B48"/>
                    <w:bidi w:val="0"/>
                    <w:rPr>
                      <w:rFonts w:ascii="Arial" w:hAnsi="Arial" w:cs="Arial"/>
                      <w:color w:val="FFFFFF" w:themeColor="background1"/>
                      <w:sz w:val="18"/>
                      <w:szCs w:val="18"/>
                    </w:rPr>
                  </w:pPr>
                </w:p>
                <w:p w:rsidR="00254059" w:rsidRPr="00A04B10" w:rsidRDefault="00254059" w:rsidP="00254059">
                  <w:pPr>
                    <w:pStyle w:val="Title"/>
                    <w:shd w:val="clear" w:color="auto" w:fill="BE4B48"/>
                    <w:bidi w:val="0"/>
                    <w:rPr>
                      <w:rFonts w:ascii="Arial" w:hAnsi="Arial" w:cs="Arial"/>
                      <w:color w:val="FFFFFF" w:themeColor="background1"/>
                      <w:sz w:val="18"/>
                      <w:szCs w:val="18"/>
                      <w:rtl/>
                    </w:rPr>
                  </w:pPr>
                  <w:r w:rsidRPr="00A04B10">
                    <w:rPr>
                      <w:rFonts w:ascii="Arial" w:hAnsi="Arial" w:cs="Arial"/>
                      <w:color w:val="FFFFFF" w:themeColor="background1"/>
                      <w:sz w:val="18"/>
                      <w:szCs w:val="18"/>
                    </w:rPr>
                    <w:t xml:space="preserve"> </w:t>
                  </w:r>
                  <w:r>
                    <w:rPr>
                      <w:rFonts w:ascii="Arial" w:hAnsi="Arial" w:cs="Arial"/>
                      <w:color w:val="FFFFFF" w:themeColor="background1"/>
                      <w:sz w:val="18"/>
                      <w:szCs w:val="18"/>
                    </w:rPr>
                    <w:t>%24</w:t>
                  </w:r>
                  <w:r w:rsidRPr="00A04B10">
                    <w:rPr>
                      <w:rFonts w:ascii="Arial" w:hAnsi="Arial" w:cs="Arial"/>
                      <w:sz w:val="18"/>
                      <w:szCs w:val="18"/>
                    </w:rPr>
                    <w:t xml:space="preserve"> </w:t>
                  </w:r>
                </w:p>
                <w:p w:rsidR="00254059" w:rsidRPr="00A04B10" w:rsidRDefault="00254059" w:rsidP="00254059">
                  <w:pPr>
                    <w:pStyle w:val="Title"/>
                    <w:shd w:val="clear" w:color="auto" w:fill="BE4B48"/>
                    <w:rPr>
                      <w:rFonts w:ascii="Arial" w:hAnsi="Arial" w:cs="Arial"/>
                      <w:color w:val="FFFFFF" w:themeColor="background1"/>
                      <w:sz w:val="18"/>
                      <w:szCs w:val="18"/>
                      <w:rtl/>
                    </w:rPr>
                  </w:pPr>
                </w:p>
                <w:p w:rsidR="00254059" w:rsidRPr="00CF7F1D" w:rsidRDefault="00254059" w:rsidP="00254059">
                  <w:pPr>
                    <w:pStyle w:val="Title"/>
                    <w:shd w:val="clear" w:color="auto" w:fill="BE4B48"/>
                    <w:rPr>
                      <w:rFonts w:ascii="Arial" w:hAnsi="Arial" w:cs="Arial"/>
                      <w:color w:val="FFFFFF" w:themeColor="background1"/>
                      <w:sz w:val="20"/>
                      <w:szCs w:val="20"/>
                      <w:rtl/>
                    </w:rPr>
                  </w:pPr>
                  <w:r w:rsidRPr="00A04B10">
                    <w:rPr>
                      <w:rFonts w:ascii="Arial" w:hAnsi="Arial" w:cs="Arial"/>
                      <w:color w:val="FFFFFF" w:themeColor="background1"/>
                      <w:sz w:val="18"/>
                      <w:szCs w:val="18"/>
                      <w:rtl/>
                    </w:rPr>
                    <w:t xml:space="preserve"> </w:t>
                  </w:r>
                  <w:r w:rsidRPr="00A04B10">
                    <w:rPr>
                      <w:rFonts w:ascii="Arial" w:hAnsi="Arial" w:cs="Arial" w:hint="cs"/>
                      <w:color w:val="FFFFFF" w:themeColor="background1"/>
                      <w:sz w:val="18"/>
                      <w:szCs w:val="18"/>
                      <w:rtl/>
                    </w:rPr>
                    <w:t>47</w:t>
                  </w:r>
                  <w:r w:rsidRPr="00A04B10">
                    <w:rPr>
                      <w:rFonts w:ascii="Arial" w:hAnsi="Arial" w:cs="Arial"/>
                      <w:color w:val="FFFFFF" w:themeColor="background1"/>
                      <w:sz w:val="18"/>
                      <w:szCs w:val="18"/>
                      <w:rtl/>
                    </w:rPr>
                    <w:t>.2%</w:t>
                  </w:r>
                </w:p>
                <w:p w:rsidR="00254059" w:rsidRDefault="00254059" w:rsidP="00254059">
                  <w:pPr>
                    <w:pStyle w:val="Title"/>
                    <w:shd w:val="clear" w:color="auto" w:fill="BE4B48"/>
                    <w:rPr>
                      <w:rFonts w:ascii="Arial" w:hAnsi="Arial" w:cs="Arial"/>
                      <w:color w:val="FFFFFF" w:themeColor="background1"/>
                      <w:sz w:val="20"/>
                      <w:szCs w:val="20"/>
                    </w:rPr>
                  </w:pPr>
                </w:p>
                <w:p w:rsidR="00254059" w:rsidRPr="0091561F" w:rsidRDefault="00254059" w:rsidP="00254059">
                  <w:pPr>
                    <w:shd w:val="clear" w:color="auto" w:fill="BE4B48"/>
                    <w:rPr>
                      <w:szCs w:val="20"/>
                    </w:rPr>
                  </w:pPr>
                </w:p>
              </w:txbxContent>
            </v:textbox>
          </v:shape>
        </w:pict>
      </w:r>
      <w:r w:rsidR="00CD4514" w:rsidRPr="00477F96">
        <w:rPr>
          <w:rFonts w:ascii="Times New Roman" w:hAnsi="Times New Roman" w:cs="Times New Roman"/>
          <w:lang w:val="en-US"/>
        </w:rPr>
        <w:br w:type="page"/>
      </w:r>
    </w:p>
    <w:p w:rsidR="00CD4514" w:rsidRPr="00BF061E" w:rsidRDefault="00C1645E" w:rsidP="00477F96">
      <w:pPr>
        <w:spacing w:after="0" w:line="240" w:lineRule="auto"/>
        <w:rPr>
          <w:rFonts w:ascii="Times New Roman" w:hAnsi="Times New Roman" w:cs="Times New Roman"/>
          <w:b/>
          <w:bCs/>
          <w:sz w:val="24"/>
          <w:szCs w:val="24"/>
        </w:rPr>
      </w:pPr>
      <w:r w:rsidRPr="00BF061E">
        <w:rPr>
          <w:rFonts w:ascii="Times New Roman" w:hAnsi="Times New Roman" w:cs="Times New Roman"/>
          <w:b/>
          <w:bCs/>
          <w:sz w:val="24"/>
          <w:szCs w:val="24"/>
        </w:rPr>
        <w:lastRenderedPageBreak/>
        <w:t xml:space="preserve">1.1 </w:t>
      </w:r>
      <w:r w:rsidR="00CD4514" w:rsidRPr="00BF061E">
        <w:rPr>
          <w:rFonts w:ascii="Times New Roman" w:hAnsi="Times New Roman" w:cs="Times New Roman"/>
          <w:b/>
          <w:bCs/>
          <w:sz w:val="24"/>
          <w:szCs w:val="24"/>
        </w:rPr>
        <w:t>Gross Domestic Product (GDP) at Constant Prices</w:t>
      </w:r>
      <w:r w:rsidR="00CD4514" w:rsidRPr="00BF061E">
        <w:rPr>
          <w:rStyle w:val="FootnoteReference"/>
          <w:rFonts w:ascii="Times New Roman" w:hAnsi="Times New Roman" w:cs="Times New Roman"/>
          <w:b/>
          <w:bCs/>
          <w:sz w:val="24"/>
          <w:szCs w:val="24"/>
        </w:rPr>
        <w:footnoteReference w:id="1"/>
      </w:r>
    </w:p>
    <w:p w:rsidR="00CD4514" w:rsidRPr="00477F96" w:rsidRDefault="00CD4514" w:rsidP="00477F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en-US"/>
        </w:rPr>
      </w:pPr>
      <w:r w:rsidRPr="00477F96">
        <w:rPr>
          <w:rFonts w:ascii="Times New Roman" w:eastAsia="Times New Roman" w:hAnsi="Times New Roman" w:cs="Times New Roman"/>
          <w:b/>
          <w:bCs/>
          <w:sz w:val="24"/>
          <w:szCs w:val="24"/>
          <w:lang w:eastAsia="en-US"/>
        </w:rPr>
        <w:t>Preliminary estimates indicate a slowdown in GDP growth in Palestine in 2018 to 0.9% compared to 3.1% in 2017,</w:t>
      </w:r>
      <w:r w:rsidRPr="00477F96">
        <w:rPr>
          <w:rFonts w:ascii="Times New Roman" w:eastAsia="Times New Roman" w:hAnsi="Times New Roman" w:cs="Times New Roman"/>
          <w:sz w:val="24"/>
          <w:szCs w:val="24"/>
          <w:lang w:eastAsia="en-US"/>
        </w:rPr>
        <w:t xml:space="preserve"> due to the sharp decline in Gaza Strip by 6.9%, while, the GDP in the West Bank increased by 3.1% during the same period.  The Palestinian economy was affected by a number of factors, the most important of which are the continued decline in the value of grants and assistance</w:t>
      </w:r>
      <w:r w:rsidR="00694F89">
        <w:rPr>
          <w:rFonts w:ascii="Times New Roman" w:eastAsia="Times New Roman" w:hAnsi="Times New Roman" w:cs="Times New Roman"/>
          <w:sz w:val="24"/>
          <w:szCs w:val="24"/>
          <w:lang w:eastAsia="en-US"/>
        </w:rPr>
        <w:t>s</w:t>
      </w:r>
      <w:r w:rsidRPr="00477F96">
        <w:rPr>
          <w:rFonts w:ascii="Times New Roman" w:eastAsia="Times New Roman" w:hAnsi="Times New Roman" w:cs="Times New Roman"/>
          <w:sz w:val="24"/>
          <w:szCs w:val="24"/>
          <w:lang w:eastAsia="en-US"/>
        </w:rPr>
        <w:t xml:space="preserve"> to Palestine since 2014, the continued restrictions on the movement of goods and people, and the siege of Gaza Strip, where they led to a slowdown in the growth rate in the West Bank, and a sharply decline in Gaza Strip during 2018.</w:t>
      </w:r>
    </w:p>
    <w:p w:rsidR="00CD4514" w:rsidRPr="00477F96" w:rsidRDefault="00CD4514" w:rsidP="00477F96">
      <w:pPr>
        <w:tabs>
          <w:tab w:val="left" w:pos="5595"/>
        </w:tabs>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r w:rsidRPr="00477F96">
        <w:rPr>
          <w:rFonts w:ascii="Times New Roman" w:hAnsi="Times New Roman" w:cs="Times New Roman"/>
          <w:b/>
          <w:bCs/>
          <w:sz w:val="24"/>
          <w:szCs w:val="24"/>
        </w:rPr>
        <w:t xml:space="preserve">As a result of this variation in </w:t>
      </w:r>
      <w:r w:rsidRPr="00477F96">
        <w:rPr>
          <w:rFonts w:ascii="Times New Roman" w:hAnsi="Times New Roman" w:cs="Times New Roman"/>
          <w:b/>
          <w:bCs/>
          <w:sz w:val="24"/>
          <w:szCs w:val="24"/>
          <w:shd w:val="clear" w:color="auto" w:fill="FFFFFF"/>
        </w:rPr>
        <w:t xml:space="preserve">change rates, the contribution of Gaza Strip to GDP declined to 20.0% in 2018, compared to 21.7% in 2017. </w:t>
      </w:r>
      <w:r w:rsidRPr="00477F96">
        <w:rPr>
          <w:rFonts w:ascii="Times New Roman" w:hAnsi="Times New Roman" w:cs="Times New Roman"/>
          <w:sz w:val="24"/>
          <w:szCs w:val="24"/>
          <w:shd w:val="clear" w:color="auto" w:fill="FFFFFF"/>
        </w:rPr>
        <w:t xml:space="preserve"> It remained much lower than it was in 2005, where it reached 39.4%.  As shown in the following figure, the GDP of Gaza Strip was USD 2,766.9 million in 2018, while the GDP for Palestine stood at USD 13,810.3 million. (See figure below).</w:t>
      </w:r>
    </w:p>
    <w:p w:rsidR="00CD4514" w:rsidRPr="00477F96" w:rsidRDefault="00CD4514" w:rsidP="00477F96">
      <w:pPr>
        <w:tabs>
          <w:tab w:val="left" w:pos="5595"/>
        </w:tabs>
        <w:spacing w:after="0" w:line="240" w:lineRule="auto"/>
        <w:jc w:val="both"/>
        <w:rPr>
          <w:rFonts w:ascii="Times New Roman" w:hAnsi="Times New Roman" w:cs="Times New Roman"/>
          <w:sz w:val="32"/>
          <w:szCs w:val="32"/>
        </w:rPr>
      </w:pPr>
      <w:r w:rsidRPr="00477F96">
        <w:rPr>
          <w:rFonts w:ascii="Times New Roman" w:hAnsi="Times New Roman" w:cs="Times New Roman"/>
          <w:sz w:val="32"/>
          <w:szCs w:val="32"/>
        </w:rPr>
        <w:tab/>
      </w:r>
    </w:p>
    <w:p w:rsidR="00CD4514" w:rsidRPr="00477F96" w:rsidRDefault="00EF105D" w:rsidP="00477F96">
      <w:pPr>
        <w:spacing w:after="0" w:line="240" w:lineRule="auto"/>
        <w:jc w:val="center"/>
        <w:rPr>
          <w:rFonts w:ascii="Arial" w:hAnsi="Arial" w:cs="Arial"/>
          <w:b/>
          <w:bCs/>
          <w:lang w:val="en-US"/>
        </w:rPr>
      </w:pPr>
      <w:r>
        <w:rPr>
          <w:rFonts w:ascii="Arial" w:hAnsi="Arial" w:cs="Arial"/>
          <w:b/>
          <w:bCs/>
        </w:rPr>
        <w:t>GDP by region, 2013-</w:t>
      </w:r>
      <w:r w:rsidR="00CD4514" w:rsidRPr="00477F96">
        <w:rPr>
          <w:rFonts w:ascii="Arial" w:hAnsi="Arial" w:cs="Arial"/>
          <w:b/>
          <w:bCs/>
        </w:rPr>
        <w:t>2018 at constant prices: base year 2015</w:t>
      </w:r>
    </w:p>
    <w:tbl>
      <w:tblPr>
        <w:tblStyle w:val="TableGrid"/>
        <w:tblW w:w="0" w:type="auto"/>
        <w:jc w:val="center"/>
        <w:tblLayout w:type="fixed"/>
        <w:tblLook w:val="04A0"/>
      </w:tblPr>
      <w:tblGrid>
        <w:gridCol w:w="8788"/>
      </w:tblGrid>
      <w:tr w:rsidR="00CD4514" w:rsidRPr="00477F96" w:rsidTr="00A77491">
        <w:trPr>
          <w:jc w:val="center"/>
        </w:trPr>
        <w:tc>
          <w:tcPr>
            <w:tcW w:w="8788" w:type="dxa"/>
          </w:tcPr>
          <w:p w:rsidR="00CD4514" w:rsidRPr="00477F96" w:rsidRDefault="00CD4514" w:rsidP="00477F96">
            <w:pPr>
              <w:jc w:val="center"/>
              <w:rPr>
                <w:rFonts w:ascii="Times New Roman" w:hAnsi="Times New Roman" w:cs="Times New Roman"/>
                <w:b/>
                <w:bCs/>
                <w:lang w:val="en-US"/>
              </w:rPr>
            </w:pPr>
            <w:r w:rsidRPr="00477F96">
              <w:rPr>
                <w:rFonts w:ascii="Times New Roman" w:hAnsi="Times New Roman" w:cs="Times New Roman"/>
                <w:b/>
                <w:bCs/>
                <w:noProof/>
              </w:rPr>
              <w:drawing>
                <wp:inline distT="0" distB="0" distL="0" distR="0">
                  <wp:extent cx="5233587" cy="2449002"/>
                  <wp:effectExtent l="19050" t="0" r="5163"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CD4514" w:rsidRPr="00BF061E" w:rsidRDefault="00CD4514" w:rsidP="00477F96">
      <w:pPr>
        <w:spacing w:after="0" w:line="240" w:lineRule="auto"/>
        <w:jc w:val="center"/>
        <w:rPr>
          <w:rFonts w:ascii="Times New Roman" w:hAnsi="Times New Roman" w:cs="Times New Roman"/>
          <w:b/>
          <w:bCs/>
          <w:sz w:val="24"/>
          <w:szCs w:val="24"/>
          <w:lang w:val="en-US"/>
        </w:rPr>
      </w:pPr>
    </w:p>
    <w:p w:rsidR="00CD4514" w:rsidRPr="00BF061E" w:rsidRDefault="005F6F96" w:rsidP="00477F96">
      <w:pPr>
        <w:pStyle w:val="HTMLPreformatted"/>
        <w:shd w:val="clear" w:color="auto" w:fill="FFFFFF"/>
        <w:jc w:val="both"/>
        <w:rPr>
          <w:rFonts w:ascii="Times New Roman" w:hAnsi="Times New Roman" w:cs="Times New Roman"/>
          <w:b/>
          <w:bCs/>
          <w:sz w:val="24"/>
          <w:szCs w:val="24"/>
        </w:rPr>
      </w:pPr>
      <w:r w:rsidRPr="00BF061E">
        <w:rPr>
          <w:rFonts w:ascii="Times New Roman" w:hAnsi="Times New Roman" w:cs="Times New Roman"/>
          <w:b/>
          <w:bCs/>
          <w:sz w:val="24"/>
          <w:szCs w:val="24"/>
        </w:rPr>
        <w:t xml:space="preserve">1.1.1 </w:t>
      </w:r>
      <w:r w:rsidR="00CD4514" w:rsidRPr="00BF061E">
        <w:rPr>
          <w:rFonts w:ascii="Times New Roman" w:hAnsi="Times New Roman" w:cs="Times New Roman"/>
          <w:b/>
          <w:bCs/>
          <w:sz w:val="24"/>
          <w:szCs w:val="24"/>
        </w:rPr>
        <w:t>Final Consumption Expenditure</w:t>
      </w:r>
    </w:p>
    <w:p w:rsidR="00CD4514" w:rsidRDefault="00CD4514" w:rsidP="00477F96">
      <w:pPr>
        <w:pStyle w:val="HTMLPreformatted"/>
        <w:shd w:val="clear" w:color="auto" w:fill="FFFFFF"/>
        <w:jc w:val="both"/>
        <w:rPr>
          <w:rFonts w:ascii="Times New Roman" w:hAnsi="Times New Roman" w:cs="Times New Roman"/>
          <w:sz w:val="24"/>
          <w:szCs w:val="24"/>
        </w:rPr>
      </w:pPr>
      <w:r w:rsidRPr="00477F96">
        <w:rPr>
          <w:rFonts w:ascii="Times New Roman" w:hAnsi="Times New Roman" w:cs="Times New Roman"/>
          <w:sz w:val="24"/>
          <w:szCs w:val="24"/>
        </w:rPr>
        <w:t>The value of final consumption expenditure in Palestine recorded an increase by 1.4% in 2018 compared to 2017, amounting to USD 15,702.1 million, representing 113.7% of GDP value.</w:t>
      </w:r>
    </w:p>
    <w:p w:rsidR="0086522D" w:rsidRDefault="0086522D" w:rsidP="00477F96">
      <w:pPr>
        <w:pStyle w:val="HTMLPreformatted"/>
        <w:shd w:val="clear" w:color="auto" w:fill="FFFFFF"/>
        <w:jc w:val="both"/>
        <w:rPr>
          <w:rFonts w:ascii="Times New Roman" w:hAnsi="Times New Roman" w:cs="Times New Roman"/>
          <w:sz w:val="24"/>
          <w:szCs w:val="24"/>
        </w:rPr>
      </w:pPr>
    </w:p>
    <w:p w:rsidR="00CD4514" w:rsidRPr="005F6F96" w:rsidRDefault="005F6F96" w:rsidP="00477F96">
      <w:pPr>
        <w:pStyle w:val="HTMLPreformatted"/>
        <w:shd w:val="clear" w:color="auto" w:fill="FFFFFF"/>
        <w:jc w:val="both"/>
        <w:rPr>
          <w:rFonts w:ascii="Times New Roman" w:hAnsi="Times New Roman" w:cs="Times New Roman"/>
          <w:b/>
          <w:bCs/>
          <w:sz w:val="24"/>
          <w:szCs w:val="24"/>
        </w:rPr>
      </w:pPr>
      <w:r w:rsidRPr="005F6F96">
        <w:rPr>
          <w:rFonts w:ascii="Times New Roman" w:hAnsi="Times New Roman" w:cs="Times New Roman"/>
          <w:b/>
          <w:bCs/>
          <w:sz w:val="24"/>
          <w:szCs w:val="24"/>
        </w:rPr>
        <w:t xml:space="preserve">1.1.2 </w:t>
      </w:r>
      <w:r w:rsidR="00CD4514" w:rsidRPr="005F6F96">
        <w:rPr>
          <w:rFonts w:ascii="Times New Roman" w:hAnsi="Times New Roman" w:cs="Times New Roman"/>
          <w:b/>
          <w:bCs/>
          <w:sz w:val="24"/>
          <w:szCs w:val="24"/>
        </w:rPr>
        <w:t>Gross Capital Formation (Investment)</w:t>
      </w:r>
    </w:p>
    <w:p w:rsidR="00CD4514" w:rsidRPr="00477F96" w:rsidRDefault="00CD4514" w:rsidP="00477F96">
      <w:pPr>
        <w:pStyle w:val="HTMLPreformatted"/>
        <w:shd w:val="clear" w:color="auto" w:fill="FFFFFF"/>
        <w:jc w:val="both"/>
        <w:rPr>
          <w:rFonts w:ascii="Times New Roman" w:hAnsi="Times New Roman" w:cs="Times New Roman"/>
          <w:sz w:val="24"/>
          <w:szCs w:val="24"/>
        </w:rPr>
      </w:pPr>
      <w:r w:rsidRPr="00477F96">
        <w:rPr>
          <w:rFonts w:ascii="Times New Roman" w:hAnsi="Times New Roman" w:cs="Times New Roman"/>
          <w:sz w:val="24"/>
          <w:szCs w:val="24"/>
        </w:rPr>
        <w:t>The value of the gross capital formation (investment) in Palestine recorded a arise by 5.7% in 2018 compared to 2017, amounting to USD 3,266.3 million, representing 23.7% of the value of GDP, which was 26.3% of GDP in the West Bank compared to 12.9% in Gaza Strip.</w:t>
      </w:r>
    </w:p>
    <w:p w:rsidR="0032196A" w:rsidRDefault="00CD4514" w:rsidP="00477F9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s>
        <w:jc w:val="both"/>
        <w:rPr>
          <w:rFonts w:ascii="Times New Roman" w:hAnsi="Times New Roman" w:cs="Times New Roman"/>
          <w:b/>
          <w:bCs/>
          <w:sz w:val="24"/>
          <w:szCs w:val="24"/>
        </w:rPr>
      </w:pPr>
      <w:r w:rsidRPr="00477F96">
        <w:rPr>
          <w:rFonts w:ascii="Times New Roman" w:hAnsi="Times New Roman" w:cs="Times New Roman"/>
          <w:b/>
          <w:bCs/>
          <w:sz w:val="24"/>
          <w:szCs w:val="24"/>
        </w:rPr>
        <w:tab/>
      </w:r>
    </w:p>
    <w:p w:rsidR="00CD4514" w:rsidRPr="00477F96" w:rsidRDefault="00CD4514" w:rsidP="00477F9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s>
        <w:jc w:val="both"/>
        <w:rPr>
          <w:rFonts w:ascii="Times New Roman" w:hAnsi="Times New Roman" w:cs="Times New Roman"/>
          <w:b/>
          <w:bCs/>
          <w:sz w:val="24"/>
          <w:szCs w:val="24"/>
        </w:rPr>
      </w:pPr>
      <w:r w:rsidRPr="00477F96">
        <w:rPr>
          <w:rFonts w:ascii="Times New Roman" w:hAnsi="Times New Roman" w:cs="Times New Roman"/>
          <w:b/>
          <w:bCs/>
          <w:sz w:val="24"/>
          <w:szCs w:val="24"/>
        </w:rPr>
        <w:tab/>
      </w:r>
    </w:p>
    <w:p w:rsidR="00CD4514" w:rsidRPr="005F6F96" w:rsidRDefault="005F6F96" w:rsidP="00477F96">
      <w:pPr>
        <w:pStyle w:val="HTMLPreformatted"/>
        <w:shd w:val="clear" w:color="auto" w:fill="FFFFFF"/>
        <w:jc w:val="both"/>
        <w:rPr>
          <w:rFonts w:ascii="Times New Roman" w:hAnsi="Times New Roman" w:cs="Times New Roman"/>
          <w:b/>
          <w:bCs/>
          <w:sz w:val="24"/>
          <w:szCs w:val="24"/>
        </w:rPr>
      </w:pPr>
      <w:r w:rsidRPr="005F6F96">
        <w:rPr>
          <w:rFonts w:ascii="Times New Roman" w:hAnsi="Times New Roman" w:cs="Times New Roman"/>
          <w:b/>
          <w:bCs/>
          <w:sz w:val="24"/>
          <w:szCs w:val="24"/>
        </w:rPr>
        <w:lastRenderedPageBreak/>
        <w:t xml:space="preserve">1.1.3 </w:t>
      </w:r>
      <w:r w:rsidR="00CD4514" w:rsidRPr="005F6F96">
        <w:rPr>
          <w:rFonts w:ascii="Times New Roman" w:hAnsi="Times New Roman" w:cs="Times New Roman"/>
          <w:b/>
          <w:bCs/>
          <w:sz w:val="24"/>
          <w:szCs w:val="24"/>
        </w:rPr>
        <w:t>Savings</w:t>
      </w:r>
    </w:p>
    <w:p w:rsidR="00CD4514" w:rsidRPr="00477F96" w:rsidRDefault="00CD4514" w:rsidP="00477F96">
      <w:pPr>
        <w:pStyle w:val="HTMLPreformatted"/>
        <w:shd w:val="clear" w:color="auto" w:fill="FFFFFF"/>
        <w:jc w:val="both"/>
        <w:rPr>
          <w:rFonts w:ascii="Times New Roman" w:hAnsi="Times New Roman" w:cs="Times New Roman"/>
          <w:sz w:val="24"/>
          <w:szCs w:val="24"/>
        </w:rPr>
      </w:pPr>
      <w:r w:rsidRPr="00477F96">
        <w:rPr>
          <w:rFonts w:ascii="Times New Roman" w:hAnsi="Times New Roman" w:cs="Times New Roman"/>
          <w:sz w:val="24"/>
          <w:szCs w:val="24"/>
        </w:rPr>
        <w:t xml:space="preserve">The value of the savings in Palestine increased by 7.6% in 2018 compared to 2017 amounting to USD 1,595.1 million, due to the increase in savings in the West Bank by 15.0%, despite the sharp decrease in Gaza Strip by 53.3%. </w:t>
      </w:r>
      <w:proofErr w:type="gramStart"/>
      <w:r w:rsidRPr="00477F96">
        <w:rPr>
          <w:rFonts w:ascii="Times New Roman" w:hAnsi="Times New Roman" w:cs="Times New Roman"/>
          <w:sz w:val="24"/>
          <w:szCs w:val="24"/>
        </w:rPr>
        <w:t>(See Table 1).</w:t>
      </w:r>
      <w:proofErr w:type="gramEnd"/>
    </w:p>
    <w:p w:rsidR="00CD4514" w:rsidRPr="00477F96" w:rsidRDefault="00CD4514" w:rsidP="00477F96">
      <w:pPr>
        <w:pStyle w:val="HTMLPreformatted"/>
        <w:shd w:val="clear" w:color="auto" w:fill="FFFFFF"/>
        <w:jc w:val="both"/>
        <w:rPr>
          <w:rFonts w:ascii="Times New Roman" w:hAnsi="Times New Roman" w:cs="Times New Roman"/>
          <w:sz w:val="24"/>
          <w:szCs w:val="24"/>
        </w:rPr>
      </w:pPr>
    </w:p>
    <w:p w:rsidR="00CD4514" w:rsidRPr="00A77491" w:rsidRDefault="00CD4514" w:rsidP="00477F96">
      <w:pPr>
        <w:spacing w:after="0" w:line="240" w:lineRule="auto"/>
        <w:jc w:val="center"/>
        <w:rPr>
          <w:rFonts w:ascii="Arial" w:hAnsi="Arial" w:cs="Arial"/>
          <w:b/>
          <w:bCs/>
          <w:lang w:eastAsia="ar-SA"/>
        </w:rPr>
      </w:pPr>
      <w:r w:rsidRPr="00A77491">
        <w:rPr>
          <w:rFonts w:ascii="Arial" w:hAnsi="Arial" w:cs="Arial"/>
          <w:b/>
          <w:bCs/>
        </w:rPr>
        <w:t xml:space="preserve">Table 1: </w:t>
      </w:r>
      <w:r w:rsidRPr="00A77491">
        <w:rPr>
          <w:rFonts w:ascii="Arial" w:hAnsi="Arial" w:cs="Arial"/>
          <w:b/>
          <w:bCs/>
          <w:lang w:eastAsia="ar-SA"/>
        </w:rPr>
        <w:t xml:space="preserve">Main Economic Indicators by region, </w:t>
      </w:r>
      <w:r w:rsidRPr="00A77491">
        <w:rPr>
          <w:rFonts w:ascii="Arial" w:hAnsi="Arial" w:cs="Arial"/>
          <w:b/>
          <w:bCs/>
          <w:rtl/>
          <w:lang w:eastAsia="ar-SA"/>
        </w:rPr>
        <w:t>2013</w:t>
      </w:r>
      <w:r w:rsidR="00EF105D" w:rsidRPr="00A77491">
        <w:rPr>
          <w:rFonts w:ascii="Arial" w:hAnsi="Arial" w:cs="Arial"/>
          <w:b/>
          <w:bCs/>
          <w:lang w:eastAsia="ar-SA"/>
        </w:rPr>
        <w:t>-</w:t>
      </w:r>
      <w:r w:rsidRPr="00A77491">
        <w:rPr>
          <w:rFonts w:ascii="Arial" w:hAnsi="Arial" w:cs="Arial"/>
          <w:b/>
          <w:bCs/>
          <w:rtl/>
          <w:lang w:eastAsia="ar-SA"/>
        </w:rPr>
        <w:t>2018</w:t>
      </w:r>
      <w:r w:rsidRPr="00A77491">
        <w:rPr>
          <w:rFonts w:ascii="Arial" w:hAnsi="Arial" w:cs="Arial"/>
          <w:b/>
          <w:bCs/>
          <w:lang w:eastAsia="ar-SA"/>
        </w:rPr>
        <w:t xml:space="preserve"> at constant prices: </w:t>
      </w:r>
    </w:p>
    <w:p w:rsidR="00CD4514" w:rsidRPr="00A77491" w:rsidRDefault="00CD4514" w:rsidP="00477F96">
      <w:pPr>
        <w:spacing w:after="0" w:line="240" w:lineRule="auto"/>
        <w:jc w:val="center"/>
        <w:rPr>
          <w:rFonts w:ascii="Arial" w:hAnsi="Arial" w:cs="Arial"/>
          <w:b/>
          <w:bCs/>
        </w:rPr>
      </w:pPr>
      <w:proofErr w:type="gramStart"/>
      <w:r w:rsidRPr="00A77491">
        <w:rPr>
          <w:rFonts w:ascii="Arial" w:hAnsi="Arial" w:cs="Arial"/>
          <w:b/>
          <w:bCs/>
          <w:lang w:eastAsia="ar-SA"/>
        </w:rPr>
        <w:t>base</w:t>
      </w:r>
      <w:proofErr w:type="gramEnd"/>
      <w:r w:rsidRPr="00A77491">
        <w:rPr>
          <w:rFonts w:ascii="Arial" w:hAnsi="Arial" w:cs="Arial"/>
          <w:b/>
          <w:bCs/>
          <w:lang w:eastAsia="ar-SA"/>
        </w:rPr>
        <w:t xml:space="preserve"> year </w:t>
      </w:r>
      <w:r w:rsidRPr="00A77491">
        <w:rPr>
          <w:rFonts w:ascii="Arial" w:hAnsi="Arial" w:cs="Arial"/>
          <w:b/>
          <w:bCs/>
          <w:rtl/>
        </w:rPr>
        <w:t>2015</w:t>
      </w:r>
    </w:p>
    <w:p w:rsidR="00CD4514" w:rsidRPr="00A77491" w:rsidRDefault="00CD4514" w:rsidP="00477F96">
      <w:pPr>
        <w:spacing w:after="0" w:line="240" w:lineRule="auto"/>
        <w:jc w:val="center"/>
        <w:rPr>
          <w:rFonts w:ascii="Arial" w:hAnsi="Arial" w:cs="Arial"/>
          <w:b/>
          <w:bCs/>
          <w:sz w:val="10"/>
          <w:szCs w:val="10"/>
        </w:rPr>
      </w:pPr>
    </w:p>
    <w:p w:rsidR="00CD4514" w:rsidRPr="00A77491" w:rsidRDefault="005F6F96" w:rsidP="00477F96">
      <w:pPr>
        <w:spacing w:after="0" w:line="240" w:lineRule="auto"/>
        <w:ind w:hanging="142"/>
        <w:rPr>
          <w:rFonts w:ascii="Arial" w:hAnsi="Arial" w:cs="Arial"/>
          <w:sz w:val="18"/>
          <w:szCs w:val="18"/>
        </w:rPr>
      </w:pPr>
      <w:r w:rsidRPr="00A77491">
        <w:rPr>
          <w:rFonts w:ascii="Arial" w:hAnsi="Arial" w:cs="Arial"/>
          <w:sz w:val="18"/>
          <w:szCs w:val="18"/>
        </w:rPr>
        <w:t xml:space="preserve">   </w:t>
      </w:r>
      <w:r w:rsidR="00CD4514" w:rsidRPr="00A77491">
        <w:rPr>
          <w:rFonts w:ascii="Arial" w:hAnsi="Arial" w:cs="Arial"/>
          <w:sz w:val="18"/>
          <w:szCs w:val="18"/>
        </w:rPr>
        <w:t>Value in USD million</w:t>
      </w:r>
    </w:p>
    <w:tbl>
      <w:tblPr>
        <w:tblW w:w="9072" w:type="dxa"/>
        <w:jc w:val="center"/>
        <w:tblLook w:val="0000"/>
      </w:tblPr>
      <w:tblGrid>
        <w:gridCol w:w="3565"/>
        <w:gridCol w:w="917"/>
        <w:gridCol w:w="918"/>
        <w:gridCol w:w="918"/>
        <w:gridCol w:w="918"/>
        <w:gridCol w:w="918"/>
        <w:gridCol w:w="918"/>
      </w:tblGrid>
      <w:tr w:rsidR="00CD4514" w:rsidRPr="00477F96" w:rsidTr="00694F89">
        <w:trPr>
          <w:trHeight w:val="354"/>
          <w:jc w:val="center"/>
        </w:trPr>
        <w:tc>
          <w:tcPr>
            <w:tcW w:w="1965" w:type="pct"/>
            <w:tcBorders>
              <w:top w:val="single" w:sz="12" w:space="0" w:color="auto"/>
              <w:bottom w:val="single" w:sz="12" w:space="0" w:color="auto"/>
            </w:tcBorders>
            <w:vAlign w:val="center"/>
          </w:tcPr>
          <w:p w:rsidR="00CD4514" w:rsidRPr="006045BF" w:rsidRDefault="00CD4514" w:rsidP="00477F96">
            <w:pPr>
              <w:pStyle w:val="Footer"/>
              <w:tabs>
                <w:tab w:val="clear" w:pos="4153"/>
                <w:tab w:val="clear" w:pos="8306"/>
              </w:tabs>
              <w:jc w:val="center"/>
              <w:rPr>
                <w:rFonts w:ascii="Arial" w:hAnsi="Arial" w:cs="Arial"/>
                <w:b/>
                <w:bCs/>
                <w:sz w:val="18"/>
                <w:szCs w:val="18"/>
              </w:rPr>
            </w:pPr>
            <w:r w:rsidRPr="006045BF">
              <w:rPr>
                <w:rFonts w:ascii="Arial" w:hAnsi="Arial" w:cs="Arial"/>
                <w:b/>
                <w:bCs/>
                <w:sz w:val="18"/>
                <w:szCs w:val="18"/>
              </w:rPr>
              <w:t>Indicator</w:t>
            </w:r>
          </w:p>
        </w:tc>
        <w:tc>
          <w:tcPr>
            <w:tcW w:w="505" w:type="pct"/>
            <w:tcBorders>
              <w:top w:val="single" w:sz="12" w:space="0" w:color="auto"/>
              <w:bottom w:val="single" w:sz="12" w:space="0" w:color="auto"/>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2013</w:t>
            </w:r>
          </w:p>
        </w:tc>
        <w:tc>
          <w:tcPr>
            <w:tcW w:w="506" w:type="pct"/>
            <w:tcBorders>
              <w:top w:val="single" w:sz="12" w:space="0" w:color="auto"/>
              <w:bottom w:val="single" w:sz="12" w:space="0" w:color="auto"/>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2014</w:t>
            </w:r>
          </w:p>
        </w:tc>
        <w:tc>
          <w:tcPr>
            <w:tcW w:w="506" w:type="pct"/>
            <w:tcBorders>
              <w:top w:val="single" w:sz="12" w:space="0" w:color="auto"/>
              <w:bottom w:val="single" w:sz="12" w:space="0" w:color="auto"/>
            </w:tcBorders>
            <w:vAlign w:val="center"/>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2015</w:t>
            </w:r>
          </w:p>
        </w:tc>
        <w:tc>
          <w:tcPr>
            <w:tcW w:w="506" w:type="pct"/>
            <w:tcBorders>
              <w:top w:val="single" w:sz="12" w:space="0" w:color="auto"/>
              <w:bottom w:val="single" w:sz="12" w:space="0" w:color="auto"/>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2016</w:t>
            </w:r>
          </w:p>
        </w:tc>
        <w:tc>
          <w:tcPr>
            <w:tcW w:w="506" w:type="pct"/>
            <w:tcBorders>
              <w:top w:val="single" w:sz="12" w:space="0" w:color="auto"/>
              <w:bottom w:val="single" w:sz="12" w:space="0" w:color="auto"/>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tl/>
              </w:rPr>
              <w:t>2017</w:t>
            </w:r>
          </w:p>
        </w:tc>
        <w:tc>
          <w:tcPr>
            <w:tcW w:w="506" w:type="pct"/>
            <w:tcBorders>
              <w:top w:val="single" w:sz="12" w:space="0" w:color="auto"/>
              <w:bottom w:val="single" w:sz="12" w:space="0" w:color="auto"/>
            </w:tcBorders>
            <w:vAlign w:val="center"/>
          </w:tcPr>
          <w:p w:rsidR="00CD4514" w:rsidRPr="006045BF" w:rsidRDefault="00CD4514" w:rsidP="00477F96">
            <w:pPr>
              <w:pStyle w:val="BodyText3"/>
              <w:spacing w:after="0" w:line="240" w:lineRule="auto"/>
              <w:jc w:val="center"/>
              <w:rPr>
                <w:rFonts w:ascii="Arial" w:hAnsi="Arial" w:cs="Arial"/>
                <w:b/>
                <w:bCs/>
                <w:sz w:val="18"/>
                <w:szCs w:val="18"/>
                <w:lang w:val="en-US"/>
              </w:rPr>
            </w:pPr>
            <w:r w:rsidRPr="006045BF">
              <w:rPr>
                <w:rFonts w:ascii="Arial" w:hAnsi="Arial" w:cs="Arial"/>
                <w:b/>
                <w:bCs/>
                <w:sz w:val="18"/>
                <w:szCs w:val="18"/>
                <w:rtl/>
              </w:rPr>
              <w:t>2018</w:t>
            </w:r>
          </w:p>
        </w:tc>
      </w:tr>
      <w:tr w:rsidR="00CD4514" w:rsidRPr="00477F96" w:rsidTr="00477F96">
        <w:trPr>
          <w:trHeight w:val="354"/>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Palestine</w:t>
            </w:r>
          </w:p>
        </w:tc>
      </w:tr>
      <w:tr w:rsidR="00CD4514" w:rsidRPr="00477F96" w:rsidTr="00694F89">
        <w:trPr>
          <w:trHeight w:val="354"/>
          <w:jc w:val="center"/>
        </w:trPr>
        <w:tc>
          <w:tcPr>
            <w:tcW w:w="1965" w:type="pct"/>
            <w:tcBorders>
              <w:top w:val="single" w:sz="12" w:space="0" w:color="auto"/>
            </w:tcBorders>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Gross Domestic Product (GDP)</w:t>
            </w:r>
          </w:p>
        </w:tc>
        <w:tc>
          <w:tcPr>
            <w:tcW w:w="505"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12,275.2</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12,252.9</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12,673.0</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13,269.7</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13,686.4</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13,810.3</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Final Consumption Expenditure</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13,863.0</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14,356.6</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15,234.6</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15,680.7</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15,490.9</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15,702.1</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Gross Capital Formation</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2,841.4</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2,446.1</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2,677.4</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2,806.9</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3,088.8</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3,266.3</w:t>
            </w:r>
          </w:p>
        </w:tc>
      </w:tr>
      <w:tr w:rsidR="00CD4514" w:rsidRPr="00477F96" w:rsidTr="00694F89">
        <w:trPr>
          <w:trHeight w:val="354"/>
          <w:jc w:val="center"/>
        </w:trPr>
        <w:tc>
          <w:tcPr>
            <w:tcW w:w="1965" w:type="pct"/>
            <w:vAlign w:val="center"/>
          </w:tcPr>
          <w:p w:rsidR="00CD4514" w:rsidRPr="006045BF" w:rsidRDefault="00CD4514" w:rsidP="00694F89">
            <w:pPr>
              <w:pStyle w:val="BodyText3"/>
              <w:spacing w:after="0" w:line="240" w:lineRule="auto"/>
              <w:rPr>
                <w:rFonts w:ascii="Arial" w:hAnsi="Arial" w:cs="Arial"/>
                <w:sz w:val="18"/>
                <w:szCs w:val="18"/>
              </w:rPr>
            </w:pPr>
            <w:r w:rsidRPr="006045BF">
              <w:rPr>
                <w:rFonts w:ascii="Arial" w:hAnsi="Arial" w:cs="Arial"/>
                <w:sz w:val="18"/>
                <w:szCs w:val="18"/>
              </w:rPr>
              <w:t xml:space="preserve">Net Exports of </w:t>
            </w:r>
            <w:r w:rsidR="00694F89" w:rsidRPr="006045BF">
              <w:rPr>
                <w:rFonts w:ascii="Arial" w:hAnsi="Arial" w:cs="Arial"/>
                <w:sz w:val="18"/>
                <w:szCs w:val="18"/>
              </w:rPr>
              <w:t>G</w:t>
            </w:r>
            <w:r w:rsidRPr="006045BF">
              <w:rPr>
                <w:rFonts w:ascii="Arial" w:hAnsi="Arial" w:cs="Arial"/>
                <w:sz w:val="18"/>
                <w:szCs w:val="18"/>
              </w:rPr>
              <w:t xml:space="preserve">oods and </w:t>
            </w:r>
            <w:r w:rsidR="00694F89" w:rsidRPr="006045BF">
              <w:rPr>
                <w:rFonts w:ascii="Arial" w:hAnsi="Arial" w:cs="Arial"/>
                <w:sz w:val="18"/>
                <w:szCs w:val="18"/>
              </w:rPr>
              <w:t>S</w:t>
            </w:r>
            <w:r w:rsidRPr="006045BF">
              <w:rPr>
                <w:rFonts w:ascii="Arial" w:hAnsi="Arial" w:cs="Arial"/>
                <w:sz w:val="18"/>
                <w:szCs w:val="18"/>
              </w:rPr>
              <w:t>ervices</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-4,532.8</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-4,598.0</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-5,199.5</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-5,170.6</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-4,816.4</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tl/>
              </w:rPr>
            </w:pPr>
            <w:r w:rsidRPr="006045BF">
              <w:rPr>
                <w:rFonts w:ascii="Arial" w:hAnsi="Arial" w:cs="Arial"/>
                <w:sz w:val="18"/>
                <w:szCs w:val="18"/>
              </w:rPr>
              <w:t>-5,127.8</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Saving</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780.8</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649.0</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572.1</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680.5</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1,482.4</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1,595.1</w:t>
            </w:r>
          </w:p>
        </w:tc>
      </w:tr>
      <w:tr w:rsidR="00CD4514" w:rsidRPr="00477F96" w:rsidTr="00694F89">
        <w:trPr>
          <w:trHeight w:val="354"/>
          <w:jc w:val="center"/>
        </w:trPr>
        <w:tc>
          <w:tcPr>
            <w:tcW w:w="1965" w:type="pct"/>
            <w:tcBorders>
              <w:bottom w:val="single" w:sz="12" w:space="0" w:color="auto"/>
            </w:tcBorders>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GDP per capita (USD)</w:t>
            </w:r>
          </w:p>
        </w:tc>
        <w:tc>
          <w:tcPr>
            <w:tcW w:w="505"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3,015.5</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2,940.7</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2,973.1</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3,044.4</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3,072.4</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3,021.4</w:t>
            </w:r>
          </w:p>
        </w:tc>
      </w:tr>
      <w:tr w:rsidR="00CD4514" w:rsidRPr="00477F96" w:rsidTr="00477F96">
        <w:trPr>
          <w:trHeight w:val="354"/>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West Bank</w:t>
            </w:r>
          </w:p>
        </w:tc>
      </w:tr>
      <w:tr w:rsidR="00CD4514" w:rsidRPr="00477F96" w:rsidTr="00694F89">
        <w:trPr>
          <w:trHeight w:val="354"/>
          <w:jc w:val="center"/>
        </w:trPr>
        <w:tc>
          <w:tcPr>
            <w:tcW w:w="1965" w:type="pct"/>
            <w:tcBorders>
              <w:top w:val="single" w:sz="12" w:space="0" w:color="auto"/>
            </w:tcBorders>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Gross Domestic Product (GDP)</w:t>
            </w:r>
          </w:p>
        </w:tc>
        <w:tc>
          <w:tcPr>
            <w:tcW w:w="505"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8,825.4</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9,293.7</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9,538.9</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9,874.1</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10,715.9</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11,043.4</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Final Consumption Expenditure</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10,227.8</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10,506.5</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11,237.1</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11,651.9</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11,957.2</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12,204.5</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Gross Capital Formation</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2,445.5</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2,573.8</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2,652.3</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2,520.6</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2,675.5</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2,908.3</w:t>
            </w:r>
          </w:p>
        </w:tc>
      </w:tr>
      <w:tr w:rsidR="00694F89" w:rsidRPr="00477F96" w:rsidTr="00694F89">
        <w:trPr>
          <w:trHeight w:val="354"/>
          <w:jc w:val="center"/>
        </w:trPr>
        <w:tc>
          <w:tcPr>
            <w:tcW w:w="1965" w:type="pct"/>
            <w:vAlign w:val="center"/>
          </w:tcPr>
          <w:p w:rsidR="00694F89" w:rsidRPr="006045BF" w:rsidRDefault="00694F89" w:rsidP="006F4FF3">
            <w:pPr>
              <w:pStyle w:val="BodyText3"/>
              <w:spacing w:after="0" w:line="240" w:lineRule="auto"/>
              <w:rPr>
                <w:rFonts w:ascii="Arial" w:hAnsi="Arial" w:cs="Arial"/>
                <w:sz w:val="18"/>
                <w:szCs w:val="18"/>
              </w:rPr>
            </w:pPr>
            <w:r w:rsidRPr="006045BF">
              <w:rPr>
                <w:rFonts w:ascii="Arial" w:hAnsi="Arial" w:cs="Arial"/>
                <w:sz w:val="18"/>
                <w:szCs w:val="18"/>
              </w:rPr>
              <w:t>Net Exports of Goods and Services</w:t>
            </w:r>
          </w:p>
        </w:tc>
        <w:tc>
          <w:tcPr>
            <w:tcW w:w="505"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-3,892.5</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-3,811.2</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-4,371.9</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-4,322.6</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-3,891.9</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-4,067.8</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Saving</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417.7</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981.0</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833.8</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727.5</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1,322.3</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1,520.3</w:t>
            </w:r>
          </w:p>
        </w:tc>
      </w:tr>
      <w:tr w:rsidR="00CD4514" w:rsidRPr="00477F96" w:rsidTr="00694F89">
        <w:trPr>
          <w:trHeight w:val="354"/>
          <w:jc w:val="center"/>
        </w:trPr>
        <w:tc>
          <w:tcPr>
            <w:tcW w:w="1965" w:type="pct"/>
            <w:tcBorders>
              <w:bottom w:val="single" w:sz="12" w:space="0" w:color="auto"/>
            </w:tcBorders>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GDP per capita (USD)</w:t>
            </w:r>
          </w:p>
        </w:tc>
        <w:tc>
          <w:tcPr>
            <w:tcW w:w="505"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3,698.1</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3,817.8</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3,843.0</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3,902.6</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4,154.2</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4,188.3</w:t>
            </w:r>
          </w:p>
        </w:tc>
      </w:tr>
      <w:tr w:rsidR="00CD4514" w:rsidRPr="00477F96" w:rsidTr="00477F96">
        <w:trPr>
          <w:trHeight w:val="354"/>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Gaza Strip</w:t>
            </w:r>
          </w:p>
        </w:tc>
      </w:tr>
      <w:tr w:rsidR="00CD4514" w:rsidRPr="00477F96" w:rsidTr="00694F89">
        <w:trPr>
          <w:trHeight w:val="354"/>
          <w:jc w:val="center"/>
        </w:trPr>
        <w:tc>
          <w:tcPr>
            <w:tcW w:w="1965" w:type="pct"/>
            <w:tcBorders>
              <w:top w:val="single" w:sz="12" w:space="0" w:color="auto"/>
            </w:tcBorders>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Gross Domestic Product (GDP)</w:t>
            </w:r>
          </w:p>
        </w:tc>
        <w:tc>
          <w:tcPr>
            <w:tcW w:w="505"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3,478.9</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2,954.2</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3,134.1</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3,395.6</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2,970.5</w:t>
            </w:r>
          </w:p>
        </w:tc>
        <w:tc>
          <w:tcPr>
            <w:tcW w:w="506"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2,766.9</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Final Consumption Expenditure</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3,635.4</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3,845.1</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3,997.5</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4,028.8</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3,533.7</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3,497.6</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Gross Capital Formation</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490.6</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-173.3</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25.1</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286.3</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413.3</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358.0</w:t>
            </w:r>
          </w:p>
        </w:tc>
      </w:tr>
      <w:tr w:rsidR="00694F89" w:rsidRPr="00477F96" w:rsidTr="00694F89">
        <w:trPr>
          <w:trHeight w:val="354"/>
          <w:jc w:val="center"/>
        </w:trPr>
        <w:tc>
          <w:tcPr>
            <w:tcW w:w="1965" w:type="pct"/>
            <w:vAlign w:val="center"/>
          </w:tcPr>
          <w:p w:rsidR="00694F89" w:rsidRPr="006045BF" w:rsidRDefault="00694F89" w:rsidP="006F4FF3">
            <w:pPr>
              <w:pStyle w:val="BodyText3"/>
              <w:spacing w:after="0" w:line="240" w:lineRule="auto"/>
              <w:rPr>
                <w:rFonts w:ascii="Arial" w:hAnsi="Arial" w:cs="Arial"/>
                <w:sz w:val="18"/>
                <w:szCs w:val="18"/>
              </w:rPr>
            </w:pPr>
            <w:r w:rsidRPr="006045BF">
              <w:rPr>
                <w:rFonts w:ascii="Arial" w:hAnsi="Arial" w:cs="Arial"/>
                <w:sz w:val="18"/>
                <w:szCs w:val="18"/>
              </w:rPr>
              <w:t>Net Exports of Goods and Services</w:t>
            </w:r>
          </w:p>
        </w:tc>
        <w:tc>
          <w:tcPr>
            <w:tcW w:w="505"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-657.3</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-775.3</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-827.6</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-848.0</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-924.5</w:t>
            </w:r>
          </w:p>
        </w:tc>
        <w:tc>
          <w:tcPr>
            <w:tcW w:w="506" w:type="pct"/>
            <w:vAlign w:val="center"/>
          </w:tcPr>
          <w:p w:rsidR="00694F89" w:rsidRPr="006045BF" w:rsidRDefault="00694F89" w:rsidP="00477F96">
            <w:pPr>
              <w:pStyle w:val="BodyText3"/>
              <w:spacing w:after="0" w:line="240" w:lineRule="auto"/>
              <w:jc w:val="right"/>
              <w:rPr>
                <w:rFonts w:ascii="Arial" w:hAnsi="Arial" w:cs="Arial"/>
                <w:sz w:val="18"/>
                <w:szCs w:val="18"/>
              </w:rPr>
            </w:pPr>
            <w:r w:rsidRPr="006045BF">
              <w:rPr>
                <w:rFonts w:ascii="Arial" w:hAnsi="Arial" w:cs="Arial"/>
                <w:sz w:val="18"/>
                <w:szCs w:val="18"/>
              </w:rPr>
              <w:t>-1,060.0</w:t>
            </w:r>
          </w:p>
        </w:tc>
      </w:tr>
      <w:tr w:rsidR="00CD4514" w:rsidRPr="00477F96" w:rsidTr="00694F89">
        <w:trPr>
          <w:trHeight w:val="354"/>
          <w:jc w:val="center"/>
        </w:trPr>
        <w:tc>
          <w:tcPr>
            <w:tcW w:w="1965"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Saving</w:t>
            </w:r>
          </w:p>
        </w:tc>
        <w:tc>
          <w:tcPr>
            <w:tcW w:w="505"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394.3</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-331.6</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-261.7</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-47.0</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160.1</w:t>
            </w:r>
          </w:p>
        </w:tc>
        <w:tc>
          <w:tcPr>
            <w:tcW w:w="506"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74.8</w:t>
            </w:r>
          </w:p>
        </w:tc>
      </w:tr>
      <w:tr w:rsidR="00CD4514" w:rsidRPr="00477F96" w:rsidTr="00694F89">
        <w:trPr>
          <w:trHeight w:val="354"/>
          <w:jc w:val="center"/>
        </w:trPr>
        <w:tc>
          <w:tcPr>
            <w:tcW w:w="1965" w:type="pct"/>
            <w:tcBorders>
              <w:bottom w:val="single" w:sz="12" w:space="0" w:color="auto"/>
            </w:tcBorders>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GDP per capita (USD)</w:t>
            </w:r>
          </w:p>
        </w:tc>
        <w:tc>
          <w:tcPr>
            <w:tcW w:w="505"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2,065.5</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1,705.3</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1,760.3</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1,856.9</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1,582.2</w:t>
            </w:r>
          </w:p>
        </w:tc>
        <w:tc>
          <w:tcPr>
            <w:tcW w:w="506"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1,431.4</w:t>
            </w:r>
          </w:p>
        </w:tc>
      </w:tr>
    </w:tbl>
    <w:p w:rsidR="00CD4514" w:rsidRPr="00A77491" w:rsidRDefault="00CD4514" w:rsidP="00477F96">
      <w:pPr>
        <w:autoSpaceDE w:val="0"/>
        <w:autoSpaceDN w:val="0"/>
        <w:adjustRightInd w:val="0"/>
        <w:spacing w:after="0" w:line="240" w:lineRule="auto"/>
        <w:jc w:val="both"/>
        <w:rPr>
          <w:rFonts w:ascii="Times New Roman" w:hAnsi="Times New Roman" w:cs="Times New Roman"/>
          <w:sz w:val="24"/>
          <w:szCs w:val="24"/>
        </w:rPr>
      </w:pPr>
    </w:p>
    <w:p w:rsidR="00CD4514" w:rsidRPr="005F6F96" w:rsidRDefault="005F6F96" w:rsidP="00477F96">
      <w:pPr>
        <w:spacing w:after="0" w:line="240" w:lineRule="auto"/>
        <w:jc w:val="both"/>
        <w:rPr>
          <w:rFonts w:ascii="Times New Roman" w:hAnsi="Times New Roman" w:cs="Times New Roman"/>
          <w:sz w:val="24"/>
          <w:szCs w:val="24"/>
        </w:rPr>
      </w:pPr>
      <w:r w:rsidRPr="005F6F96">
        <w:rPr>
          <w:rFonts w:ascii="Times New Roman" w:hAnsi="Times New Roman" w:cs="Times New Roman"/>
          <w:b/>
          <w:bCs/>
          <w:sz w:val="24"/>
          <w:szCs w:val="24"/>
        </w:rPr>
        <w:t xml:space="preserve">1.1.4 </w:t>
      </w:r>
      <w:r w:rsidR="00CD4514" w:rsidRPr="005F6F96">
        <w:rPr>
          <w:rFonts w:ascii="Times New Roman" w:hAnsi="Times New Roman" w:cs="Times New Roman"/>
          <w:b/>
          <w:bCs/>
          <w:sz w:val="24"/>
          <w:szCs w:val="24"/>
        </w:rPr>
        <w:t>GDP Per Capita</w:t>
      </w:r>
    </w:p>
    <w:p w:rsidR="00CD4514" w:rsidRDefault="00CD4514" w:rsidP="00B84D02">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 xml:space="preserve">GDP per capita in Palestine declined in 2018, compared to 2017, amounting to USD 3,021.4,  </w:t>
      </w:r>
      <w:r w:rsidRPr="00477F96">
        <w:rPr>
          <w:rFonts w:ascii="Times New Roman" w:hAnsi="Times New Roman" w:cs="Times New Roman"/>
          <w:sz w:val="24"/>
          <w:szCs w:val="24"/>
        </w:rPr>
        <w:t>it increased in the West Bank by 0.8%</w:t>
      </w:r>
      <w:r w:rsidRPr="00477F96">
        <w:rPr>
          <w:rFonts w:ascii="Times New Roman" w:hAnsi="Times New Roman" w:cs="Times New Roman"/>
          <w:b/>
          <w:bCs/>
          <w:sz w:val="24"/>
          <w:szCs w:val="24"/>
        </w:rPr>
        <w:t xml:space="preserve"> </w:t>
      </w:r>
      <w:r w:rsidRPr="00477F96">
        <w:rPr>
          <w:rFonts w:ascii="Times New Roman" w:hAnsi="Times New Roman" w:cs="Times New Roman"/>
          <w:sz w:val="24"/>
          <w:szCs w:val="24"/>
        </w:rPr>
        <w:t xml:space="preserve">amounting to USD 4,188.3, ​​whereas it declined by 9.5% in Gaza Strip reaching USD 1,431.4 during 2018.  This leads to increasing the gap between them, where the GDP per capita in Gaza Strip represented 34.2% of the GDP per capita in the West Bank in 2018, and remained lower than its rate in 2005, when it was 97.1%.  (See figure </w:t>
      </w:r>
      <w:r w:rsidR="00B84D02">
        <w:rPr>
          <w:rFonts w:ascii="Times New Roman" w:hAnsi="Times New Roman" w:cs="Times New Roman"/>
          <w:sz w:val="24"/>
          <w:szCs w:val="24"/>
        </w:rPr>
        <w:t>follow</w:t>
      </w:r>
      <w:r w:rsidRPr="00477F96">
        <w:rPr>
          <w:rFonts w:ascii="Times New Roman" w:hAnsi="Times New Roman" w:cs="Times New Roman"/>
          <w:sz w:val="24"/>
          <w:szCs w:val="24"/>
        </w:rPr>
        <w:t>).</w:t>
      </w:r>
    </w:p>
    <w:p w:rsidR="000157D5" w:rsidRDefault="000157D5" w:rsidP="00477F96">
      <w:pPr>
        <w:spacing w:after="0" w:line="240" w:lineRule="auto"/>
        <w:jc w:val="both"/>
        <w:rPr>
          <w:rFonts w:ascii="Times New Roman" w:hAnsi="Times New Roman" w:cs="Times New Roman"/>
          <w:sz w:val="24"/>
          <w:szCs w:val="24"/>
        </w:rPr>
      </w:pPr>
    </w:p>
    <w:p w:rsidR="00A77491" w:rsidRDefault="00A77491">
      <w:pPr>
        <w:rPr>
          <w:rFonts w:ascii="Arial" w:hAnsi="Arial" w:cs="Arial"/>
          <w:b/>
          <w:bCs/>
        </w:rPr>
      </w:pPr>
      <w:r>
        <w:rPr>
          <w:rFonts w:ascii="Arial" w:hAnsi="Arial" w:cs="Arial"/>
          <w:b/>
          <w:bCs/>
        </w:rPr>
        <w:br w:type="page"/>
      </w:r>
    </w:p>
    <w:p w:rsidR="00CD4514" w:rsidRPr="005F6F96" w:rsidRDefault="00EF105D" w:rsidP="00477F96">
      <w:pPr>
        <w:spacing w:after="0" w:line="240" w:lineRule="auto"/>
        <w:jc w:val="center"/>
        <w:rPr>
          <w:rFonts w:ascii="Arial" w:hAnsi="Arial" w:cs="Arial"/>
          <w:b/>
          <w:bCs/>
        </w:rPr>
      </w:pPr>
      <w:r>
        <w:rPr>
          <w:rFonts w:ascii="Arial" w:hAnsi="Arial" w:cs="Arial"/>
          <w:b/>
          <w:bCs/>
        </w:rPr>
        <w:lastRenderedPageBreak/>
        <w:t>GDP per capita by region, 2013-</w:t>
      </w:r>
      <w:r w:rsidR="00CD4514" w:rsidRPr="005F6F96">
        <w:rPr>
          <w:rFonts w:ascii="Arial" w:hAnsi="Arial" w:cs="Arial"/>
          <w:b/>
          <w:bCs/>
        </w:rPr>
        <w:t>2018 at constant prices: base year</w:t>
      </w:r>
      <w:r w:rsidR="00CD4514" w:rsidRPr="005F6F96">
        <w:rPr>
          <w:rFonts w:ascii="Arial" w:hAnsi="Arial" w:cs="Arial"/>
        </w:rPr>
        <w:t xml:space="preserve"> </w:t>
      </w:r>
      <w:r w:rsidR="00CD4514" w:rsidRPr="005F6F96">
        <w:rPr>
          <w:rFonts w:ascii="Arial" w:hAnsi="Arial" w:cs="Arial"/>
          <w:b/>
          <w:bCs/>
        </w:rPr>
        <w:t>2015</w:t>
      </w:r>
    </w:p>
    <w:tbl>
      <w:tblPr>
        <w:tblStyle w:val="TableGrid"/>
        <w:tblW w:w="0" w:type="auto"/>
        <w:tblInd w:w="108" w:type="dxa"/>
        <w:tblLook w:val="04A0"/>
      </w:tblPr>
      <w:tblGrid>
        <w:gridCol w:w="9096"/>
      </w:tblGrid>
      <w:tr w:rsidR="00CD4514" w:rsidRPr="00477F96" w:rsidTr="005F6F96">
        <w:tc>
          <w:tcPr>
            <w:tcW w:w="9096" w:type="dxa"/>
          </w:tcPr>
          <w:p w:rsidR="00CD4514" w:rsidRPr="00477F96" w:rsidRDefault="00CD4514" w:rsidP="00477F96">
            <w:pPr>
              <w:jc w:val="center"/>
              <w:rPr>
                <w:rFonts w:ascii="Times New Roman" w:hAnsi="Times New Roman" w:cs="Times New Roman"/>
                <w:sz w:val="24"/>
                <w:szCs w:val="24"/>
              </w:rPr>
            </w:pPr>
            <w:r w:rsidRPr="00477F96">
              <w:rPr>
                <w:rFonts w:ascii="Times New Roman" w:hAnsi="Times New Roman" w:cs="Times New Roman"/>
                <w:noProof/>
                <w:sz w:val="24"/>
                <w:szCs w:val="24"/>
              </w:rPr>
              <w:drawing>
                <wp:inline distT="0" distB="0" distL="0" distR="0">
                  <wp:extent cx="5610474" cy="2512612"/>
                  <wp:effectExtent l="19050" t="0" r="9276" b="0"/>
                  <wp:docPr id="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CD4514" w:rsidRPr="00477F96" w:rsidRDefault="00CD4514" w:rsidP="00477F96">
      <w:pPr>
        <w:spacing w:after="0" w:line="240" w:lineRule="auto"/>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shd w:val="clear" w:color="auto" w:fill="FFFFFF"/>
        </w:rPr>
      </w:pPr>
      <w:r w:rsidRPr="00477F96">
        <w:rPr>
          <w:rFonts w:ascii="Times New Roman" w:hAnsi="Times New Roman" w:cs="Times New Roman"/>
          <w:b/>
          <w:bCs/>
          <w:sz w:val="24"/>
          <w:szCs w:val="24"/>
          <w:shd w:val="clear" w:color="auto" w:fill="FFFFFF"/>
        </w:rPr>
        <w:t>The value added of wholesale and retail trade activities increased by 9.1%, agriculture by 7.2%, industry by 2.7%, and construction by 1.9% in Palestine in 2018</w:t>
      </w:r>
      <w:r w:rsidRPr="00477F96">
        <w:rPr>
          <w:rFonts w:ascii="Times New Roman" w:hAnsi="Times New Roman" w:cs="Times New Roman"/>
          <w:sz w:val="24"/>
          <w:szCs w:val="24"/>
          <w:shd w:val="clear" w:color="auto" w:fill="FFFFFF"/>
        </w:rPr>
        <w:t>.  In contrast, transport and storage activities decreased by 9.0%, information and communication by 4.5% and other services and branches by 1.9%.</w:t>
      </w:r>
    </w:p>
    <w:p w:rsidR="00CD4514" w:rsidRPr="00477F96" w:rsidRDefault="00CD4514" w:rsidP="00477F96">
      <w:pPr>
        <w:spacing w:after="0" w:line="240" w:lineRule="auto"/>
        <w:jc w:val="both"/>
        <w:rPr>
          <w:rFonts w:ascii="Times New Roman" w:hAnsi="Times New Roman" w:cs="Times New Roman"/>
          <w:sz w:val="24"/>
          <w:szCs w:val="24"/>
          <w:shd w:val="clear" w:color="auto" w:fill="FFFFFF"/>
        </w:rPr>
      </w:pPr>
    </w:p>
    <w:p w:rsidR="00CD4514" w:rsidRPr="00477F96" w:rsidRDefault="00CD4514" w:rsidP="00477F96">
      <w:pPr>
        <w:spacing w:after="0" w:line="240" w:lineRule="auto"/>
        <w:jc w:val="both"/>
        <w:rPr>
          <w:rFonts w:ascii="Times New Roman" w:hAnsi="Times New Roman" w:cs="Times New Roman"/>
          <w:sz w:val="24"/>
          <w:szCs w:val="24"/>
          <w:shd w:val="clear" w:color="auto" w:fill="FFFFFF"/>
        </w:rPr>
      </w:pPr>
      <w:r w:rsidRPr="00477F96">
        <w:rPr>
          <w:rFonts w:ascii="Times New Roman" w:hAnsi="Times New Roman" w:cs="Times New Roman"/>
          <w:b/>
          <w:bCs/>
          <w:sz w:val="24"/>
          <w:szCs w:val="24"/>
          <w:shd w:val="clear" w:color="auto" w:fill="FFFFFF"/>
        </w:rPr>
        <w:t>The rates of change varied in economic activities between the West Bank and Gaza Strip in 2018,</w:t>
      </w:r>
      <w:r w:rsidRPr="00477F96">
        <w:rPr>
          <w:rFonts w:ascii="Times New Roman" w:hAnsi="Times New Roman" w:cs="Times New Roman"/>
          <w:sz w:val="24"/>
          <w:szCs w:val="24"/>
          <w:shd w:val="clear" w:color="auto" w:fill="FFFFFF"/>
        </w:rPr>
        <w:t xml:space="preserve"> wholesale and retail trade</w:t>
      </w:r>
      <w:r w:rsidRPr="00477F96">
        <w:rPr>
          <w:rFonts w:ascii="Times New Roman" w:hAnsi="Times New Roman" w:cs="Times New Roman"/>
          <w:sz w:val="24"/>
          <w:szCs w:val="24"/>
        </w:rPr>
        <w:t xml:space="preserve"> activities</w:t>
      </w:r>
      <w:r w:rsidRPr="00477F96">
        <w:rPr>
          <w:rFonts w:ascii="Times New Roman" w:hAnsi="Times New Roman" w:cs="Times New Roman"/>
          <w:sz w:val="24"/>
          <w:szCs w:val="24"/>
          <w:shd w:val="clear" w:color="auto" w:fill="FFFFFF"/>
        </w:rPr>
        <w:t xml:space="preserve"> grew by 11.1% in the West Bank compared to 3.7% in Gaza Strip.  Construction </w:t>
      </w:r>
      <w:r w:rsidRPr="00477F96">
        <w:rPr>
          <w:rFonts w:ascii="Times New Roman" w:hAnsi="Times New Roman" w:cs="Times New Roman"/>
          <w:sz w:val="24"/>
          <w:szCs w:val="24"/>
        </w:rPr>
        <w:t>activities</w:t>
      </w:r>
      <w:r w:rsidRPr="00477F96">
        <w:rPr>
          <w:rFonts w:ascii="Times New Roman" w:hAnsi="Times New Roman" w:cs="Times New Roman"/>
          <w:sz w:val="24"/>
          <w:szCs w:val="24"/>
          <w:shd w:val="clear" w:color="auto" w:fill="FFFFFF"/>
        </w:rPr>
        <w:t xml:space="preserve"> rose by 9.1% in the West Bank compared to a decrease by 19.5% in Gaza Strip.  Agriculture </w:t>
      </w:r>
      <w:r w:rsidRPr="00477F96">
        <w:rPr>
          <w:rFonts w:ascii="Times New Roman" w:hAnsi="Times New Roman" w:cs="Times New Roman"/>
          <w:sz w:val="24"/>
          <w:szCs w:val="24"/>
        </w:rPr>
        <w:t>activities</w:t>
      </w:r>
      <w:r w:rsidRPr="00477F96">
        <w:rPr>
          <w:rFonts w:ascii="Times New Roman" w:hAnsi="Times New Roman" w:cs="Times New Roman"/>
          <w:sz w:val="24"/>
          <w:szCs w:val="24"/>
          <w:shd w:val="clear" w:color="auto" w:fill="FFFFFF"/>
        </w:rPr>
        <w:t xml:space="preserve"> </w:t>
      </w:r>
      <w:r w:rsidRPr="00477F96">
        <w:rPr>
          <w:rFonts w:ascii="Times New Roman" w:hAnsi="Times New Roman" w:cs="Times New Roman"/>
          <w:sz w:val="24"/>
          <w:szCs w:val="24"/>
        </w:rPr>
        <w:t xml:space="preserve">recorded an increase </w:t>
      </w:r>
      <w:r w:rsidRPr="00477F96">
        <w:rPr>
          <w:rFonts w:ascii="Times New Roman" w:hAnsi="Times New Roman" w:cs="Times New Roman"/>
          <w:sz w:val="24"/>
          <w:szCs w:val="24"/>
          <w:shd w:val="clear" w:color="auto" w:fill="FFFFFF"/>
        </w:rPr>
        <w:t xml:space="preserve">by 7.4% in the West Bank compared to 6.8% in Gaza Strip, industrial </w:t>
      </w:r>
      <w:r w:rsidRPr="00477F96">
        <w:rPr>
          <w:rFonts w:ascii="Times New Roman" w:hAnsi="Times New Roman" w:cs="Times New Roman"/>
          <w:sz w:val="24"/>
          <w:szCs w:val="24"/>
        </w:rPr>
        <w:t>activities</w:t>
      </w:r>
      <w:r w:rsidRPr="00477F96">
        <w:rPr>
          <w:rFonts w:ascii="Times New Roman" w:hAnsi="Times New Roman" w:cs="Times New Roman"/>
          <w:sz w:val="24"/>
          <w:szCs w:val="24"/>
          <w:shd w:val="clear" w:color="auto" w:fill="FFFFFF"/>
        </w:rPr>
        <w:t xml:space="preserve"> increased by 5.3% in the West Bank compared to a decline by 9.3% in Gaza Strip, services and other branches activities recorded an increase by 1.8% compared </w:t>
      </w:r>
      <w:r w:rsidRPr="00477F96">
        <w:rPr>
          <w:rFonts w:ascii="Times New Roman" w:hAnsi="Times New Roman" w:cs="Times New Roman"/>
          <w:sz w:val="24"/>
          <w:szCs w:val="24"/>
          <w:shd w:val="clear" w:color="auto" w:fill="FFFFFF"/>
          <w:lang w:val="en-US"/>
        </w:rPr>
        <w:t>to a decrease</w:t>
      </w:r>
      <w:r w:rsidRPr="00477F96">
        <w:rPr>
          <w:rFonts w:ascii="Times New Roman" w:hAnsi="Times New Roman" w:cs="Times New Roman"/>
          <w:sz w:val="24"/>
          <w:szCs w:val="24"/>
          <w:shd w:val="clear" w:color="auto" w:fill="FFFFFF"/>
        </w:rPr>
        <w:t xml:space="preserve"> of 11.9% in Gaza Strip.  On the other hand, transport and storage activities decreased by 14.0% in the West Bank compared to an increase by 12.8% in Gaza Strip, information and communication activities in the West Bank decreased by 4.5% compared to 3.2% in Gaza Strip. </w:t>
      </w:r>
      <w:proofErr w:type="gramStart"/>
      <w:r w:rsidRPr="00477F96">
        <w:rPr>
          <w:rFonts w:ascii="Times New Roman" w:hAnsi="Times New Roman" w:cs="Times New Roman"/>
          <w:sz w:val="24"/>
          <w:szCs w:val="24"/>
          <w:shd w:val="clear" w:color="auto" w:fill="FFFFFF"/>
        </w:rPr>
        <w:t>(See Table 2).</w:t>
      </w:r>
      <w:proofErr w:type="gramEnd"/>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477F96" w:rsidRDefault="00477F96" w:rsidP="00477F96">
      <w:pPr>
        <w:spacing w:after="0" w:line="240" w:lineRule="auto"/>
        <w:rPr>
          <w:rFonts w:ascii="Times New Roman" w:hAnsi="Times New Roman" w:cs="Times New Roman"/>
          <w:b/>
          <w:bCs/>
        </w:rPr>
      </w:pPr>
      <w:r>
        <w:rPr>
          <w:rFonts w:ascii="Times New Roman" w:hAnsi="Times New Roman" w:cs="Times New Roman"/>
          <w:b/>
          <w:bCs/>
        </w:rPr>
        <w:br w:type="page"/>
      </w:r>
    </w:p>
    <w:p w:rsidR="00CD4514" w:rsidRPr="00A77491" w:rsidRDefault="00CD4514" w:rsidP="004F2EDD">
      <w:pPr>
        <w:spacing w:after="0" w:line="240" w:lineRule="auto"/>
        <w:jc w:val="center"/>
        <w:rPr>
          <w:rFonts w:ascii="Arial" w:hAnsi="Arial" w:cs="Arial"/>
          <w:b/>
          <w:bCs/>
        </w:rPr>
      </w:pPr>
      <w:r w:rsidRPr="00A77491">
        <w:rPr>
          <w:rFonts w:ascii="Arial" w:hAnsi="Arial" w:cs="Arial"/>
          <w:b/>
          <w:bCs/>
        </w:rPr>
        <w:lastRenderedPageBreak/>
        <w:t xml:space="preserve">Table 2: </w:t>
      </w:r>
      <w:r w:rsidRPr="00A77491">
        <w:rPr>
          <w:rFonts w:ascii="Arial" w:hAnsi="Arial" w:cs="Arial"/>
          <w:b/>
          <w:bCs/>
          <w:lang w:eastAsia="ar-SA"/>
        </w:rPr>
        <w:t>Value added of main econo</w:t>
      </w:r>
      <w:r w:rsidR="00EF105D" w:rsidRPr="00A77491">
        <w:rPr>
          <w:rFonts w:ascii="Arial" w:hAnsi="Arial" w:cs="Arial"/>
          <w:b/>
          <w:bCs/>
          <w:lang w:eastAsia="ar-SA"/>
        </w:rPr>
        <w:t xml:space="preserve">mic activities by region 2013-2018, at constant prices: </w:t>
      </w:r>
      <w:r w:rsidRPr="00A77491">
        <w:rPr>
          <w:rFonts w:ascii="Arial" w:hAnsi="Arial" w:cs="Arial"/>
          <w:b/>
          <w:bCs/>
          <w:lang w:eastAsia="ar-SA"/>
        </w:rPr>
        <w:t xml:space="preserve">base year </w:t>
      </w:r>
      <w:r w:rsidRPr="00A77491">
        <w:rPr>
          <w:rFonts w:ascii="Arial" w:hAnsi="Arial" w:cs="Arial"/>
          <w:b/>
          <w:bCs/>
        </w:rPr>
        <w:t>2015</w:t>
      </w:r>
    </w:p>
    <w:p w:rsidR="00CD4514" w:rsidRPr="00A77491" w:rsidRDefault="00CD4514" w:rsidP="00477F96">
      <w:pPr>
        <w:spacing w:after="0" w:line="240" w:lineRule="auto"/>
        <w:jc w:val="center"/>
        <w:rPr>
          <w:rFonts w:ascii="Arial" w:hAnsi="Arial" w:cs="Arial"/>
          <w:b/>
          <w:bCs/>
          <w:sz w:val="10"/>
          <w:szCs w:val="10"/>
          <w:lang w:eastAsia="ar-SA"/>
        </w:rPr>
      </w:pPr>
    </w:p>
    <w:p w:rsidR="00CD4514" w:rsidRPr="00A77491" w:rsidRDefault="00CD4514" w:rsidP="00477F96">
      <w:pPr>
        <w:tabs>
          <w:tab w:val="center" w:pos="4535"/>
        </w:tabs>
        <w:spacing w:after="0" w:line="240" w:lineRule="auto"/>
        <w:rPr>
          <w:rFonts w:ascii="Arial" w:hAnsi="Arial" w:cs="Arial"/>
          <w:sz w:val="18"/>
          <w:szCs w:val="18"/>
        </w:rPr>
      </w:pPr>
      <w:r w:rsidRPr="00A77491">
        <w:rPr>
          <w:rFonts w:ascii="Arial" w:hAnsi="Arial" w:cs="Arial"/>
          <w:sz w:val="18"/>
          <w:szCs w:val="18"/>
        </w:rPr>
        <w:t>Value in USD Millions</w:t>
      </w:r>
      <w:r w:rsidRPr="00A77491">
        <w:rPr>
          <w:rFonts w:ascii="Arial" w:hAnsi="Arial" w:cs="Arial"/>
          <w:sz w:val="18"/>
          <w:szCs w:val="18"/>
        </w:rPr>
        <w:tab/>
      </w:r>
    </w:p>
    <w:tbl>
      <w:tblPr>
        <w:tblW w:w="9072" w:type="dxa"/>
        <w:jc w:val="center"/>
        <w:tblLook w:val="0000"/>
      </w:tblPr>
      <w:tblGrid>
        <w:gridCol w:w="3150"/>
        <w:gridCol w:w="987"/>
        <w:gridCol w:w="987"/>
        <w:gridCol w:w="987"/>
        <w:gridCol w:w="987"/>
        <w:gridCol w:w="987"/>
        <w:gridCol w:w="987"/>
      </w:tblGrid>
      <w:tr w:rsidR="00CD4514" w:rsidRPr="00A77491" w:rsidTr="004F2EDD">
        <w:trPr>
          <w:trHeight w:val="340"/>
          <w:jc w:val="center"/>
        </w:trPr>
        <w:tc>
          <w:tcPr>
            <w:tcW w:w="1736" w:type="pct"/>
            <w:tcBorders>
              <w:top w:val="single" w:sz="12" w:space="0" w:color="auto"/>
              <w:bottom w:val="single" w:sz="12" w:space="0" w:color="auto"/>
            </w:tcBorders>
            <w:vAlign w:val="center"/>
          </w:tcPr>
          <w:p w:rsidR="00CD4514" w:rsidRPr="006045BF" w:rsidRDefault="00CD4514" w:rsidP="00477F96">
            <w:pPr>
              <w:pStyle w:val="Footer"/>
              <w:tabs>
                <w:tab w:val="clear" w:pos="4153"/>
                <w:tab w:val="clear" w:pos="8306"/>
              </w:tabs>
              <w:jc w:val="center"/>
              <w:rPr>
                <w:rFonts w:ascii="Arial" w:hAnsi="Arial" w:cs="Arial"/>
                <w:sz w:val="18"/>
                <w:szCs w:val="18"/>
              </w:rPr>
            </w:pPr>
            <w:r w:rsidRPr="006045BF">
              <w:rPr>
                <w:rFonts w:ascii="Arial" w:hAnsi="Arial" w:cs="Arial"/>
                <w:b/>
                <w:bCs/>
                <w:sz w:val="18"/>
                <w:szCs w:val="18"/>
              </w:rPr>
              <w:t>Economic Activity</w:t>
            </w:r>
          </w:p>
        </w:tc>
        <w:tc>
          <w:tcPr>
            <w:tcW w:w="544" w:type="pct"/>
            <w:tcBorders>
              <w:top w:val="single" w:sz="12" w:space="0" w:color="auto"/>
              <w:bottom w:val="single" w:sz="12" w:space="0" w:color="auto"/>
            </w:tcBorders>
            <w:vAlign w:val="center"/>
          </w:tcPr>
          <w:p w:rsidR="00CD4514" w:rsidRPr="006045BF" w:rsidRDefault="00CD4514" w:rsidP="004F2EDD">
            <w:pPr>
              <w:pStyle w:val="BodyText3"/>
              <w:spacing w:after="0" w:line="240" w:lineRule="auto"/>
              <w:jc w:val="center"/>
              <w:rPr>
                <w:rFonts w:ascii="Arial" w:hAnsi="Arial" w:cs="Arial"/>
                <w:b/>
                <w:bCs/>
                <w:sz w:val="18"/>
                <w:szCs w:val="18"/>
              </w:rPr>
            </w:pPr>
            <w:r w:rsidRPr="006045BF">
              <w:rPr>
                <w:rFonts w:ascii="Arial" w:hAnsi="Arial" w:cs="Arial"/>
                <w:b/>
                <w:bCs/>
                <w:sz w:val="18"/>
                <w:szCs w:val="18"/>
              </w:rPr>
              <w:t>2013</w:t>
            </w:r>
          </w:p>
        </w:tc>
        <w:tc>
          <w:tcPr>
            <w:tcW w:w="544" w:type="pct"/>
            <w:tcBorders>
              <w:top w:val="single" w:sz="12" w:space="0" w:color="auto"/>
              <w:bottom w:val="single" w:sz="12" w:space="0" w:color="auto"/>
            </w:tcBorders>
            <w:vAlign w:val="center"/>
          </w:tcPr>
          <w:p w:rsidR="00CD4514" w:rsidRPr="006045BF" w:rsidRDefault="00CD4514" w:rsidP="004F2EDD">
            <w:pPr>
              <w:pStyle w:val="BodyText3"/>
              <w:spacing w:after="0" w:line="240" w:lineRule="auto"/>
              <w:jc w:val="center"/>
              <w:rPr>
                <w:rFonts w:ascii="Arial" w:hAnsi="Arial" w:cs="Arial"/>
                <w:b/>
                <w:bCs/>
                <w:sz w:val="18"/>
                <w:szCs w:val="18"/>
              </w:rPr>
            </w:pPr>
            <w:r w:rsidRPr="006045BF">
              <w:rPr>
                <w:rFonts w:ascii="Arial" w:hAnsi="Arial" w:cs="Arial"/>
                <w:b/>
                <w:bCs/>
                <w:sz w:val="18"/>
                <w:szCs w:val="18"/>
              </w:rPr>
              <w:t>2014</w:t>
            </w:r>
          </w:p>
        </w:tc>
        <w:tc>
          <w:tcPr>
            <w:tcW w:w="544" w:type="pct"/>
            <w:tcBorders>
              <w:top w:val="single" w:sz="12" w:space="0" w:color="auto"/>
              <w:bottom w:val="single" w:sz="12" w:space="0" w:color="auto"/>
            </w:tcBorders>
            <w:vAlign w:val="center"/>
          </w:tcPr>
          <w:p w:rsidR="00CD4514" w:rsidRPr="006045BF" w:rsidRDefault="00CD4514" w:rsidP="004F2EDD">
            <w:pPr>
              <w:spacing w:after="0" w:line="240" w:lineRule="auto"/>
              <w:jc w:val="center"/>
              <w:rPr>
                <w:rFonts w:ascii="Arial" w:hAnsi="Arial" w:cs="Arial"/>
                <w:b/>
                <w:bCs/>
                <w:sz w:val="18"/>
                <w:szCs w:val="18"/>
              </w:rPr>
            </w:pPr>
            <w:r w:rsidRPr="006045BF">
              <w:rPr>
                <w:rFonts w:ascii="Arial" w:hAnsi="Arial" w:cs="Arial"/>
                <w:b/>
                <w:bCs/>
                <w:sz w:val="18"/>
                <w:szCs w:val="18"/>
              </w:rPr>
              <w:t>2015</w:t>
            </w:r>
          </w:p>
        </w:tc>
        <w:tc>
          <w:tcPr>
            <w:tcW w:w="544" w:type="pct"/>
            <w:tcBorders>
              <w:top w:val="single" w:sz="12" w:space="0" w:color="auto"/>
              <w:bottom w:val="single" w:sz="12" w:space="0" w:color="auto"/>
            </w:tcBorders>
            <w:vAlign w:val="center"/>
          </w:tcPr>
          <w:p w:rsidR="00CD4514" w:rsidRPr="006045BF" w:rsidRDefault="00CD4514" w:rsidP="004F2EDD">
            <w:pPr>
              <w:spacing w:after="0" w:line="240" w:lineRule="auto"/>
              <w:jc w:val="center"/>
              <w:rPr>
                <w:rFonts w:ascii="Arial" w:hAnsi="Arial" w:cs="Arial"/>
                <w:b/>
                <w:bCs/>
                <w:sz w:val="18"/>
                <w:szCs w:val="18"/>
              </w:rPr>
            </w:pPr>
            <w:r w:rsidRPr="006045BF">
              <w:rPr>
                <w:rFonts w:ascii="Arial" w:hAnsi="Arial" w:cs="Arial"/>
                <w:b/>
                <w:bCs/>
                <w:sz w:val="18"/>
                <w:szCs w:val="18"/>
              </w:rPr>
              <w:t>2016</w:t>
            </w:r>
          </w:p>
        </w:tc>
        <w:tc>
          <w:tcPr>
            <w:tcW w:w="544" w:type="pct"/>
            <w:tcBorders>
              <w:top w:val="single" w:sz="12" w:space="0" w:color="auto"/>
              <w:bottom w:val="single" w:sz="12" w:space="0" w:color="auto"/>
            </w:tcBorders>
            <w:vAlign w:val="center"/>
          </w:tcPr>
          <w:p w:rsidR="00CD4514" w:rsidRPr="006045BF" w:rsidRDefault="00CD4514" w:rsidP="004F2EDD">
            <w:pPr>
              <w:pStyle w:val="BodyText3"/>
              <w:spacing w:after="0" w:line="240" w:lineRule="auto"/>
              <w:jc w:val="center"/>
              <w:rPr>
                <w:rFonts w:ascii="Arial" w:hAnsi="Arial" w:cs="Arial"/>
                <w:b/>
                <w:bCs/>
                <w:sz w:val="18"/>
                <w:szCs w:val="18"/>
              </w:rPr>
            </w:pPr>
            <w:r w:rsidRPr="006045BF">
              <w:rPr>
                <w:rFonts w:ascii="Arial" w:hAnsi="Arial" w:cs="Arial"/>
                <w:b/>
                <w:bCs/>
                <w:sz w:val="18"/>
                <w:szCs w:val="18"/>
              </w:rPr>
              <w:t>2017</w:t>
            </w:r>
          </w:p>
        </w:tc>
        <w:tc>
          <w:tcPr>
            <w:tcW w:w="544" w:type="pct"/>
            <w:tcBorders>
              <w:top w:val="single" w:sz="12" w:space="0" w:color="auto"/>
              <w:bottom w:val="single" w:sz="12" w:space="0" w:color="auto"/>
            </w:tcBorders>
            <w:vAlign w:val="center"/>
          </w:tcPr>
          <w:p w:rsidR="00CD4514" w:rsidRPr="006045BF" w:rsidRDefault="00CD4514" w:rsidP="004F2EDD">
            <w:pPr>
              <w:pStyle w:val="BodyText3"/>
              <w:spacing w:after="0" w:line="240" w:lineRule="auto"/>
              <w:jc w:val="center"/>
              <w:rPr>
                <w:rFonts w:ascii="Arial" w:hAnsi="Arial" w:cs="Arial"/>
                <w:b/>
                <w:bCs/>
                <w:sz w:val="18"/>
                <w:szCs w:val="18"/>
              </w:rPr>
            </w:pPr>
            <w:r w:rsidRPr="006045BF">
              <w:rPr>
                <w:rFonts w:ascii="Arial" w:hAnsi="Arial" w:cs="Arial"/>
                <w:b/>
                <w:bCs/>
                <w:sz w:val="18"/>
                <w:szCs w:val="18"/>
              </w:rPr>
              <w:t>2018</w:t>
            </w:r>
          </w:p>
        </w:tc>
      </w:tr>
      <w:tr w:rsidR="00CD4514" w:rsidRPr="00A77491" w:rsidTr="00BD79D0">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6045BF" w:rsidRDefault="00CD4514" w:rsidP="00477F96">
            <w:pPr>
              <w:spacing w:after="0" w:line="240" w:lineRule="auto"/>
              <w:jc w:val="center"/>
              <w:rPr>
                <w:rFonts w:ascii="Arial" w:hAnsi="Arial" w:cs="Arial"/>
                <w:sz w:val="18"/>
                <w:szCs w:val="18"/>
              </w:rPr>
            </w:pPr>
            <w:r w:rsidRPr="006045BF">
              <w:rPr>
                <w:rFonts w:ascii="Arial" w:hAnsi="Arial" w:cs="Arial"/>
                <w:b/>
                <w:bCs/>
                <w:sz w:val="18"/>
                <w:szCs w:val="18"/>
              </w:rPr>
              <w:t>Palestine</w:t>
            </w:r>
          </w:p>
        </w:tc>
      </w:tr>
      <w:tr w:rsidR="00CD4514" w:rsidRPr="00A77491" w:rsidTr="00BD79D0">
        <w:trPr>
          <w:trHeight w:val="340"/>
          <w:jc w:val="center"/>
        </w:trPr>
        <w:tc>
          <w:tcPr>
            <w:tcW w:w="1736" w:type="pct"/>
            <w:tcBorders>
              <w:top w:val="single" w:sz="12" w:space="0" w:color="auto"/>
            </w:tcBorders>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Agriculture</w:t>
            </w:r>
          </w:p>
        </w:tc>
        <w:tc>
          <w:tcPr>
            <w:tcW w:w="544"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525.0</w:t>
            </w:r>
          </w:p>
        </w:tc>
        <w:tc>
          <w:tcPr>
            <w:tcW w:w="544"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485.2</w:t>
            </w:r>
          </w:p>
        </w:tc>
        <w:tc>
          <w:tcPr>
            <w:tcW w:w="544"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450.1</w:t>
            </w:r>
          </w:p>
        </w:tc>
        <w:tc>
          <w:tcPr>
            <w:tcW w:w="544"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413.5</w:t>
            </w:r>
          </w:p>
        </w:tc>
        <w:tc>
          <w:tcPr>
            <w:tcW w:w="544"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390.0</w:t>
            </w:r>
          </w:p>
        </w:tc>
        <w:tc>
          <w:tcPr>
            <w:tcW w:w="544" w:type="pct"/>
            <w:tcBorders>
              <w:top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418.2</w:t>
            </w:r>
          </w:p>
        </w:tc>
      </w:tr>
      <w:tr w:rsidR="00CD4514" w:rsidRPr="00A77491" w:rsidTr="00BD79D0">
        <w:trPr>
          <w:trHeight w:val="340"/>
          <w:jc w:val="center"/>
        </w:trPr>
        <w:tc>
          <w:tcPr>
            <w:tcW w:w="1736"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Industry</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1,842.1</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1,757.7</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1,656.7</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1,740.1</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1,777.8</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1,826.3</w:t>
            </w:r>
          </w:p>
        </w:tc>
      </w:tr>
      <w:tr w:rsidR="00CD4514" w:rsidRPr="00A77491" w:rsidTr="00BD79D0">
        <w:trPr>
          <w:trHeight w:val="340"/>
          <w:jc w:val="center"/>
        </w:trPr>
        <w:tc>
          <w:tcPr>
            <w:tcW w:w="1736" w:type="pct"/>
            <w:vAlign w:val="center"/>
          </w:tcPr>
          <w:p w:rsidR="00CD4514" w:rsidRPr="006045BF" w:rsidRDefault="00CD4514" w:rsidP="00477F96">
            <w:pPr>
              <w:pStyle w:val="BodyText3"/>
              <w:spacing w:after="0" w:line="240" w:lineRule="auto"/>
              <w:rPr>
                <w:rFonts w:ascii="Arial" w:hAnsi="Arial" w:cs="Arial"/>
                <w:sz w:val="18"/>
                <w:szCs w:val="18"/>
              </w:rPr>
            </w:pPr>
            <w:r w:rsidRPr="006045BF">
              <w:rPr>
                <w:rFonts w:ascii="Arial" w:hAnsi="Arial" w:cs="Arial"/>
                <w:sz w:val="18"/>
                <w:szCs w:val="18"/>
              </w:rPr>
              <w:t>Construction</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986.0</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711.3</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737.8</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833.8</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886.5</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903.2</w:t>
            </w:r>
          </w:p>
        </w:tc>
      </w:tr>
      <w:tr w:rsidR="00CD4514" w:rsidRPr="00A77491" w:rsidTr="00BD79D0">
        <w:trPr>
          <w:trHeight w:val="340"/>
          <w:jc w:val="center"/>
        </w:trPr>
        <w:tc>
          <w:tcPr>
            <w:tcW w:w="1736" w:type="pct"/>
            <w:vAlign w:val="center"/>
          </w:tcPr>
          <w:p w:rsidR="00CD4514" w:rsidRPr="006045BF" w:rsidRDefault="00CD4514" w:rsidP="008D018D">
            <w:pPr>
              <w:pStyle w:val="BodyText3"/>
              <w:spacing w:after="0" w:line="240" w:lineRule="auto"/>
              <w:rPr>
                <w:rFonts w:ascii="Arial" w:hAnsi="Arial" w:cs="Arial"/>
                <w:sz w:val="18"/>
                <w:szCs w:val="18"/>
                <w:rtl/>
              </w:rPr>
            </w:pPr>
            <w:r w:rsidRPr="006045BF">
              <w:rPr>
                <w:rFonts w:ascii="Arial" w:hAnsi="Arial" w:cs="Arial"/>
                <w:sz w:val="18"/>
                <w:szCs w:val="18"/>
              </w:rPr>
              <w:t xml:space="preserve">Wholesale and </w:t>
            </w:r>
            <w:r w:rsidR="008D018D" w:rsidRPr="006045BF">
              <w:rPr>
                <w:rFonts w:ascii="Arial" w:hAnsi="Arial" w:cs="Arial"/>
                <w:sz w:val="18"/>
                <w:szCs w:val="18"/>
              </w:rPr>
              <w:t>R</w:t>
            </w:r>
            <w:r w:rsidRPr="006045BF">
              <w:rPr>
                <w:rFonts w:ascii="Arial" w:hAnsi="Arial" w:cs="Arial"/>
                <w:sz w:val="18"/>
                <w:szCs w:val="18"/>
              </w:rPr>
              <w:t xml:space="preserve">etail </w:t>
            </w:r>
            <w:r w:rsidR="008D018D" w:rsidRPr="006045BF">
              <w:rPr>
                <w:rFonts w:ascii="Arial" w:hAnsi="Arial" w:cs="Arial"/>
                <w:sz w:val="18"/>
                <w:szCs w:val="18"/>
              </w:rPr>
              <w:t>T</w:t>
            </w:r>
            <w:r w:rsidRPr="006045BF">
              <w:rPr>
                <w:rFonts w:ascii="Arial" w:hAnsi="Arial" w:cs="Arial"/>
                <w:sz w:val="18"/>
                <w:szCs w:val="18"/>
              </w:rPr>
              <w:t>rade</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2,218.3</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2,260.8</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2,415.5</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2,404.1</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2,613.4</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2,852.2</w:t>
            </w:r>
          </w:p>
        </w:tc>
      </w:tr>
      <w:tr w:rsidR="00CD4514" w:rsidRPr="00A77491" w:rsidTr="00BD79D0">
        <w:trPr>
          <w:trHeight w:val="340"/>
          <w:jc w:val="center"/>
        </w:trPr>
        <w:tc>
          <w:tcPr>
            <w:tcW w:w="1736" w:type="pct"/>
            <w:vAlign w:val="center"/>
          </w:tcPr>
          <w:p w:rsidR="00CD4514" w:rsidRPr="006045BF" w:rsidRDefault="00CD4514" w:rsidP="008D018D">
            <w:pPr>
              <w:pStyle w:val="BodyText3"/>
              <w:spacing w:after="0" w:line="240" w:lineRule="auto"/>
              <w:rPr>
                <w:rFonts w:ascii="Arial" w:hAnsi="Arial" w:cs="Arial"/>
                <w:sz w:val="18"/>
                <w:szCs w:val="18"/>
                <w:rtl/>
              </w:rPr>
            </w:pPr>
            <w:r w:rsidRPr="006045BF">
              <w:rPr>
                <w:rFonts w:ascii="Arial" w:hAnsi="Arial" w:cs="Arial"/>
                <w:sz w:val="18"/>
                <w:szCs w:val="18"/>
              </w:rPr>
              <w:t xml:space="preserve">Transportation and </w:t>
            </w:r>
            <w:r w:rsidR="008D018D" w:rsidRPr="006045BF">
              <w:rPr>
                <w:rFonts w:ascii="Arial" w:hAnsi="Arial" w:cs="Arial"/>
                <w:sz w:val="18"/>
                <w:szCs w:val="18"/>
              </w:rPr>
              <w:t>S</w:t>
            </w:r>
            <w:r w:rsidRPr="006045BF">
              <w:rPr>
                <w:rFonts w:ascii="Arial" w:hAnsi="Arial" w:cs="Arial"/>
                <w:sz w:val="18"/>
                <w:szCs w:val="18"/>
              </w:rPr>
              <w:t xml:space="preserve">torage </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179.1</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182.0</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220.5</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262.2</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268.0</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243.8</w:t>
            </w:r>
          </w:p>
        </w:tc>
      </w:tr>
      <w:tr w:rsidR="00CD4514" w:rsidRPr="00A77491" w:rsidTr="00BD79D0">
        <w:trPr>
          <w:trHeight w:val="340"/>
          <w:jc w:val="center"/>
        </w:trPr>
        <w:tc>
          <w:tcPr>
            <w:tcW w:w="1736" w:type="pct"/>
            <w:vAlign w:val="center"/>
          </w:tcPr>
          <w:p w:rsidR="00CD4514" w:rsidRPr="006045BF" w:rsidRDefault="00CD4514" w:rsidP="008D018D">
            <w:pPr>
              <w:pStyle w:val="BodyText3"/>
              <w:spacing w:after="0" w:line="240" w:lineRule="auto"/>
              <w:rPr>
                <w:rFonts w:ascii="Arial" w:hAnsi="Arial" w:cs="Arial"/>
                <w:sz w:val="18"/>
                <w:szCs w:val="18"/>
              </w:rPr>
            </w:pPr>
            <w:r w:rsidRPr="006045BF">
              <w:rPr>
                <w:rFonts w:ascii="Arial" w:hAnsi="Arial" w:cs="Arial"/>
                <w:sz w:val="18"/>
                <w:szCs w:val="18"/>
              </w:rPr>
              <w:t xml:space="preserve">Information and </w:t>
            </w:r>
            <w:r w:rsidR="008D018D" w:rsidRPr="006045BF">
              <w:rPr>
                <w:rFonts w:ascii="Arial" w:hAnsi="Arial" w:cs="Arial"/>
                <w:sz w:val="18"/>
                <w:szCs w:val="18"/>
              </w:rPr>
              <w:t>C</w:t>
            </w:r>
            <w:r w:rsidRPr="006045BF">
              <w:rPr>
                <w:rFonts w:ascii="Arial" w:hAnsi="Arial" w:cs="Arial"/>
                <w:sz w:val="18"/>
                <w:szCs w:val="18"/>
              </w:rPr>
              <w:t>ommunications</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528.4</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510.0</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515.7</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542.1</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511.3</w:t>
            </w:r>
          </w:p>
        </w:tc>
        <w:tc>
          <w:tcPr>
            <w:tcW w:w="544" w:type="pct"/>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488.5</w:t>
            </w:r>
          </w:p>
        </w:tc>
      </w:tr>
      <w:tr w:rsidR="00CD4514" w:rsidRPr="00A77491" w:rsidTr="00BD79D0">
        <w:trPr>
          <w:trHeight w:val="340"/>
          <w:jc w:val="center"/>
        </w:trPr>
        <w:tc>
          <w:tcPr>
            <w:tcW w:w="1736" w:type="pct"/>
            <w:tcBorders>
              <w:bottom w:val="single" w:sz="12" w:space="0" w:color="auto"/>
            </w:tcBorders>
            <w:vAlign w:val="center"/>
          </w:tcPr>
          <w:p w:rsidR="00CD4514" w:rsidRPr="006045BF" w:rsidRDefault="00CD4514" w:rsidP="008D018D">
            <w:pPr>
              <w:pStyle w:val="BodyText3"/>
              <w:spacing w:after="0" w:line="240" w:lineRule="auto"/>
              <w:rPr>
                <w:rFonts w:ascii="Arial" w:hAnsi="Arial" w:cs="Arial"/>
                <w:sz w:val="18"/>
                <w:szCs w:val="18"/>
              </w:rPr>
            </w:pPr>
            <w:r w:rsidRPr="006045BF">
              <w:rPr>
                <w:rFonts w:ascii="Arial" w:hAnsi="Arial" w:cs="Arial"/>
                <w:sz w:val="18"/>
                <w:szCs w:val="18"/>
              </w:rPr>
              <w:t xml:space="preserve">Services and </w:t>
            </w:r>
            <w:r w:rsidR="008D018D" w:rsidRPr="006045BF">
              <w:rPr>
                <w:rFonts w:ascii="Arial" w:hAnsi="Arial" w:cs="Arial"/>
                <w:sz w:val="18"/>
                <w:szCs w:val="18"/>
              </w:rPr>
              <w:t>O</w:t>
            </w:r>
            <w:r w:rsidRPr="006045BF">
              <w:rPr>
                <w:rFonts w:ascii="Arial" w:hAnsi="Arial" w:cs="Arial"/>
                <w:sz w:val="18"/>
                <w:szCs w:val="18"/>
              </w:rPr>
              <w:t xml:space="preserve">ther </w:t>
            </w:r>
            <w:r w:rsidR="008D018D" w:rsidRPr="006045BF">
              <w:rPr>
                <w:rFonts w:ascii="Arial" w:hAnsi="Arial" w:cs="Arial"/>
                <w:sz w:val="18"/>
                <w:szCs w:val="18"/>
              </w:rPr>
              <w:t>B</w:t>
            </w:r>
            <w:r w:rsidRPr="006045BF">
              <w:rPr>
                <w:rFonts w:ascii="Arial" w:hAnsi="Arial" w:cs="Arial"/>
                <w:sz w:val="18"/>
                <w:szCs w:val="18"/>
              </w:rPr>
              <w:t xml:space="preserve">ranches                                                                         </w:t>
            </w:r>
          </w:p>
        </w:tc>
        <w:tc>
          <w:tcPr>
            <w:tcW w:w="544"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4,652.3</w:t>
            </w:r>
          </w:p>
        </w:tc>
        <w:tc>
          <w:tcPr>
            <w:tcW w:w="544"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4,882.8</w:t>
            </w:r>
          </w:p>
        </w:tc>
        <w:tc>
          <w:tcPr>
            <w:tcW w:w="544"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4,964.7</w:t>
            </w:r>
          </w:p>
        </w:tc>
        <w:tc>
          <w:tcPr>
            <w:tcW w:w="544"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5,221.0</w:t>
            </w:r>
          </w:p>
        </w:tc>
        <w:tc>
          <w:tcPr>
            <w:tcW w:w="544"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5,285.9</w:t>
            </w:r>
          </w:p>
        </w:tc>
        <w:tc>
          <w:tcPr>
            <w:tcW w:w="544" w:type="pct"/>
            <w:tcBorders>
              <w:bottom w:val="single" w:sz="12" w:space="0" w:color="auto"/>
            </w:tcBorders>
            <w:vAlign w:val="center"/>
          </w:tcPr>
          <w:p w:rsidR="00CD4514" w:rsidRPr="006045BF" w:rsidRDefault="00CD4514" w:rsidP="00477F96">
            <w:pPr>
              <w:pStyle w:val="BodyText3"/>
              <w:spacing w:after="0" w:line="240" w:lineRule="auto"/>
              <w:jc w:val="right"/>
              <w:rPr>
                <w:rFonts w:ascii="Arial" w:hAnsi="Arial" w:cs="Arial"/>
                <w:sz w:val="18"/>
                <w:szCs w:val="18"/>
              </w:rPr>
            </w:pPr>
            <w:r w:rsidRPr="006045BF">
              <w:rPr>
                <w:rFonts w:ascii="Arial" w:hAnsi="Arial" w:cs="Arial"/>
                <w:sz w:val="18"/>
                <w:szCs w:val="18"/>
              </w:rPr>
              <w:t>5,184.6</w:t>
            </w:r>
          </w:p>
        </w:tc>
      </w:tr>
      <w:tr w:rsidR="00CD4514" w:rsidRPr="00A77491" w:rsidTr="00BD79D0">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6045BF" w:rsidRDefault="00CD4514" w:rsidP="00477F96">
            <w:pPr>
              <w:spacing w:after="0" w:line="240" w:lineRule="auto"/>
              <w:jc w:val="center"/>
              <w:rPr>
                <w:rFonts w:ascii="Arial" w:hAnsi="Arial" w:cs="Arial"/>
                <w:sz w:val="18"/>
                <w:szCs w:val="18"/>
              </w:rPr>
            </w:pPr>
            <w:r w:rsidRPr="006045BF">
              <w:rPr>
                <w:rFonts w:ascii="Arial" w:hAnsi="Arial" w:cs="Arial"/>
                <w:b/>
                <w:bCs/>
                <w:sz w:val="18"/>
                <w:szCs w:val="18"/>
              </w:rPr>
              <w:t>West Bank</w:t>
            </w:r>
          </w:p>
        </w:tc>
      </w:tr>
      <w:tr w:rsidR="008D018D" w:rsidRPr="00A77491" w:rsidTr="00BD79D0">
        <w:trPr>
          <w:trHeight w:val="340"/>
          <w:jc w:val="center"/>
        </w:trPr>
        <w:tc>
          <w:tcPr>
            <w:tcW w:w="1736" w:type="pct"/>
            <w:tcBorders>
              <w:top w:val="single" w:sz="12" w:space="0" w:color="auto"/>
            </w:tcBorders>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Agriculture</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333.0</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340.1</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308.0</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281.5</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266.2</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286.0</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Industry</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1,432.5</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1,435.8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1,339.1</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1,384.4</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1,465.0</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1,542.6</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Construction</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583.5</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615.6</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593.7</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602.6</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663.8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724.0</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tl/>
              </w:rPr>
            </w:pPr>
            <w:r w:rsidRPr="006045BF">
              <w:rPr>
                <w:rFonts w:ascii="Arial" w:hAnsi="Arial" w:cs="Arial"/>
                <w:sz w:val="18"/>
                <w:szCs w:val="18"/>
              </w:rPr>
              <w:t>Wholesale and Retail Trade</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1,648.2</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1,702.7</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1,787.0</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1,770.3</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1,931.8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2,145.5</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tl/>
              </w:rPr>
            </w:pPr>
            <w:r w:rsidRPr="006045BF">
              <w:rPr>
                <w:rFonts w:ascii="Arial" w:hAnsi="Arial" w:cs="Arial"/>
                <w:sz w:val="18"/>
                <w:szCs w:val="18"/>
              </w:rPr>
              <w:t xml:space="preserve">Transportation and Storage </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142.1</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145.4</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178.7</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217.9</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218.6</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188.1</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Information and Communications</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515.2</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496.8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501.0</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526.6</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495.9</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473.6</w:t>
            </w:r>
          </w:p>
        </w:tc>
      </w:tr>
      <w:tr w:rsidR="008D018D" w:rsidRPr="00A77491" w:rsidTr="00BD79D0">
        <w:trPr>
          <w:trHeight w:val="340"/>
          <w:jc w:val="center"/>
        </w:trPr>
        <w:tc>
          <w:tcPr>
            <w:tcW w:w="1736" w:type="pct"/>
            <w:tcBorders>
              <w:bottom w:val="single" w:sz="12" w:space="0" w:color="auto"/>
            </w:tcBorders>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 xml:space="preserve">Services and Other Branches                                                                         </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2,968.7</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3,196.7</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3,239.4</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3,367.5</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3,852.2</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3,921.4</w:t>
            </w:r>
          </w:p>
        </w:tc>
      </w:tr>
      <w:tr w:rsidR="00CD4514" w:rsidRPr="00A77491" w:rsidTr="00BD79D0">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Gaza Strip</w:t>
            </w:r>
          </w:p>
        </w:tc>
      </w:tr>
      <w:tr w:rsidR="008D018D" w:rsidRPr="00A77491" w:rsidTr="00BD79D0">
        <w:trPr>
          <w:trHeight w:val="340"/>
          <w:jc w:val="center"/>
        </w:trPr>
        <w:tc>
          <w:tcPr>
            <w:tcW w:w="1736" w:type="pct"/>
            <w:tcBorders>
              <w:top w:val="single" w:sz="12" w:space="0" w:color="auto"/>
            </w:tcBorders>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Agriculture</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190.5</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145.5</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142.1</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132.0</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123.8</w:t>
            </w:r>
          </w:p>
        </w:tc>
        <w:tc>
          <w:tcPr>
            <w:tcW w:w="544" w:type="pct"/>
            <w:tcBorders>
              <w:top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132.2</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Industry</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432.6</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315.7</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317.6</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355.7</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312.8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283.7</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Construction</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394.3</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97.4</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144.1</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231.2</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222.7</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179.2</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tl/>
              </w:rPr>
            </w:pPr>
            <w:r w:rsidRPr="006045BF">
              <w:rPr>
                <w:rFonts w:ascii="Arial" w:hAnsi="Arial" w:cs="Arial"/>
                <w:sz w:val="18"/>
                <w:szCs w:val="18"/>
              </w:rPr>
              <w:t>Wholesale and Retail Trade</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568.2</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549.9</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628.5</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633.8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681.6</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706.7</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tl/>
              </w:rPr>
            </w:pPr>
            <w:r w:rsidRPr="006045BF">
              <w:rPr>
                <w:rFonts w:ascii="Arial" w:hAnsi="Arial" w:cs="Arial"/>
                <w:sz w:val="18"/>
                <w:szCs w:val="18"/>
              </w:rPr>
              <w:t xml:space="preserve">Transportation and Storage </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37.6</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37.1</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41.8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44.3</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49.4</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55.7</w:t>
            </w:r>
          </w:p>
        </w:tc>
      </w:tr>
      <w:tr w:rsidR="008D018D" w:rsidRPr="00A77491" w:rsidTr="00BD79D0">
        <w:trPr>
          <w:trHeight w:val="340"/>
          <w:jc w:val="center"/>
        </w:trPr>
        <w:tc>
          <w:tcPr>
            <w:tcW w:w="1736" w:type="pct"/>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Information and Communications</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12.8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12.8</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14.7</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15.5</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15.4</w:t>
            </w:r>
          </w:p>
        </w:tc>
        <w:tc>
          <w:tcPr>
            <w:tcW w:w="544" w:type="pct"/>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14.9</w:t>
            </w:r>
          </w:p>
        </w:tc>
      </w:tr>
      <w:tr w:rsidR="008D018D" w:rsidRPr="00A77491" w:rsidTr="00BD79D0">
        <w:trPr>
          <w:trHeight w:val="340"/>
          <w:jc w:val="center"/>
        </w:trPr>
        <w:tc>
          <w:tcPr>
            <w:tcW w:w="1736" w:type="pct"/>
            <w:tcBorders>
              <w:bottom w:val="single" w:sz="12" w:space="0" w:color="auto"/>
            </w:tcBorders>
            <w:vAlign w:val="center"/>
          </w:tcPr>
          <w:p w:rsidR="008D018D" w:rsidRPr="006045BF" w:rsidRDefault="008D018D" w:rsidP="006F4FF3">
            <w:pPr>
              <w:pStyle w:val="BodyText3"/>
              <w:spacing w:after="0" w:line="240" w:lineRule="auto"/>
              <w:rPr>
                <w:rFonts w:ascii="Arial" w:hAnsi="Arial" w:cs="Arial"/>
                <w:sz w:val="18"/>
                <w:szCs w:val="18"/>
              </w:rPr>
            </w:pPr>
            <w:r w:rsidRPr="006045BF">
              <w:rPr>
                <w:rFonts w:ascii="Arial" w:hAnsi="Arial" w:cs="Arial"/>
                <w:sz w:val="18"/>
                <w:szCs w:val="18"/>
              </w:rPr>
              <w:t xml:space="preserve">Services and Other Branches                                                                         </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1,689.4</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1,700.9</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1,725.3</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1,853.5</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1,433.7</w:t>
            </w:r>
          </w:p>
        </w:tc>
        <w:tc>
          <w:tcPr>
            <w:tcW w:w="544" w:type="pct"/>
            <w:tcBorders>
              <w:bottom w:val="single" w:sz="12" w:space="0" w:color="auto"/>
            </w:tcBorders>
            <w:vAlign w:val="center"/>
          </w:tcPr>
          <w:p w:rsidR="008D018D" w:rsidRPr="006045BF" w:rsidRDefault="008D018D" w:rsidP="00477F96">
            <w:pPr>
              <w:pStyle w:val="BodyText3"/>
              <w:spacing w:after="0" w:line="240" w:lineRule="auto"/>
              <w:jc w:val="right"/>
              <w:rPr>
                <w:rFonts w:ascii="Arial" w:hAnsi="Arial" w:cs="Arial"/>
                <w:sz w:val="18"/>
                <w:szCs w:val="18"/>
              </w:rPr>
            </w:pPr>
            <w:r w:rsidRPr="006045BF">
              <w:rPr>
                <w:rFonts w:ascii="Arial" w:hAnsi="Arial" w:cs="Arial"/>
                <w:sz w:val="18"/>
                <w:szCs w:val="18"/>
              </w:rPr>
              <w:t>1,263.2</w:t>
            </w:r>
          </w:p>
        </w:tc>
      </w:tr>
    </w:tbl>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pStyle w:val="HTMLPreformatted"/>
        <w:shd w:val="clear" w:color="auto" w:fill="FFFFFF"/>
        <w:jc w:val="both"/>
        <w:rPr>
          <w:rFonts w:ascii="Times New Roman" w:hAnsi="Times New Roman" w:cs="Times New Roman"/>
          <w:sz w:val="24"/>
          <w:szCs w:val="24"/>
        </w:rPr>
      </w:pPr>
      <w:r w:rsidRPr="00477F96">
        <w:rPr>
          <w:rFonts w:ascii="Times New Roman" w:hAnsi="Times New Roman" w:cs="Times New Roman"/>
          <w:b/>
          <w:bCs/>
          <w:sz w:val="24"/>
          <w:szCs w:val="24"/>
        </w:rPr>
        <w:t>The disparity in change rates for the value added of the economic activities affected the contribution of economic activities in the gross domestic product in Palestine in 2018</w:t>
      </w:r>
      <w:r w:rsidRPr="00477F96">
        <w:rPr>
          <w:rFonts w:ascii="Times New Roman" w:hAnsi="Times New Roman" w:cs="Times New Roman"/>
          <w:b/>
          <w:bCs/>
          <w:sz w:val="24"/>
          <w:szCs w:val="24"/>
          <w:rtl/>
        </w:rPr>
        <w:t>.</w:t>
      </w:r>
      <w:r w:rsidRPr="00477F96">
        <w:rPr>
          <w:rFonts w:ascii="Times New Roman" w:hAnsi="Times New Roman" w:cs="Times New Roman"/>
          <w:sz w:val="24"/>
          <w:szCs w:val="24"/>
        </w:rPr>
        <w:t xml:space="preserve">  The contribution of services and other branches activities to the GDP declined during 2018 compared to 2017 to reach 37.5% of GDP, services and other branches activities represented the largest share of the GDP, this may be explained by the fact that the services and other branches activities include a wide range of sub-activities like education activities, human health and social work activities, information and communication activities whose contribution decreased to 3.5% and the contribution of transport and storage activities decreased to 1.8%.  While the contribution of wholesale and retail trade increased to 20.7%, as well as industry to 13.2% and agriculture to 3.0%.  </w:t>
      </w:r>
    </w:p>
    <w:p w:rsidR="00CD4514" w:rsidRPr="00477F96" w:rsidRDefault="00CD4514" w:rsidP="00477F96">
      <w:pPr>
        <w:pStyle w:val="HTMLPreformatted"/>
        <w:shd w:val="clear" w:color="auto" w:fill="FFFFFF"/>
        <w:jc w:val="both"/>
        <w:rPr>
          <w:rFonts w:ascii="Times New Roman" w:hAnsi="Times New Roman" w:cs="Times New Roman"/>
          <w:sz w:val="24"/>
          <w:szCs w:val="24"/>
        </w:rPr>
      </w:pPr>
    </w:p>
    <w:p w:rsidR="00CD4514" w:rsidRPr="00477F96" w:rsidRDefault="00CD4514" w:rsidP="00477F96">
      <w:pPr>
        <w:pStyle w:val="HTMLPreformatted"/>
        <w:shd w:val="clear" w:color="auto" w:fill="FFFFFF"/>
        <w:jc w:val="both"/>
        <w:rPr>
          <w:rFonts w:ascii="Times New Roman" w:hAnsi="Times New Roman" w:cs="Times New Roman"/>
          <w:sz w:val="24"/>
          <w:szCs w:val="24"/>
        </w:rPr>
      </w:pPr>
    </w:p>
    <w:p w:rsidR="00CD4514" w:rsidRPr="00477F96" w:rsidRDefault="00CD4514" w:rsidP="00477F96">
      <w:pPr>
        <w:pStyle w:val="HTMLPreformatted"/>
        <w:shd w:val="clear" w:color="auto" w:fill="FFFFFF"/>
        <w:jc w:val="both"/>
        <w:rPr>
          <w:rFonts w:ascii="Times New Roman" w:hAnsi="Times New Roman" w:cs="Times New Roman"/>
          <w:sz w:val="24"/>
          <w:szCs w:val="24"/>
        </w:rPr>
      </w:pPr>
    </w:p>
    <w:p w:rsidR="00CD4514" w:rsidRPr="00477F96" w:rsidRDefault="00CD4514" w:rsidP="00477F96">
      <w:pPr>
        <w:pStyle w:val="HTMLPreformatted"/>
        <w:shd w:val="clear" w:color="auto" w:fill="FFFFFF"/>
        <w:jc w:val="both"/>
        <w:rPr>
          <w:rFonts w:ascii="Times New Roman" w:hAnsi="Times New Roman" w:cs="Times New Roman"/>
          <w:sz w:val="24"/>
          <w:szCs w:val="24"/>
        </w:rPr>
      </w:pPr>
    </w:p>
    <w:p w:rsidR="00CD4514" w:rsidRPr="00477F96" w:rsidRDefault="00CD4514" w:rsidP="00477F96">
      <w:pPr>
        <w:pStyle w:val="HTMLPreformatted"/>
        <w:shd w:val="clear" w:color="auto" w:fill="FFFFFF"/>
        <w:jc w:val="both"/>
        <w:rPr>
          <w:rFonts w:ascii="Times New Roman" w:hAnsi="Times New Roman" w:cs="Times New Roman"/>
          <w:sz w:val="24"/>
          <w:szCs w:val="24"/>
        </w:rPr>
      </w:pPr>
    </w:p>
    <w:p w:rsidR="00CD4514" w:rsidRPr="00477F96" w:rsidRDefault="00CD4514" w:rsidP="008D018D">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lastRenderedPageBreak/>
        <w:t>The structure of the economic activities differed between the West Bank and Gaza Strip during 2018, but the services and other branches activities remained the largest contributor to GDP in both regions</w:t>
      </w:r>
      <w:r w:rsidRPr="00477F96">
        <w:rPr>
          <w:rFonts w:ascii="Times New Roman" w:hAnsi="Times New Roman" w:cs="Times New Roman"/>
          <w:sz w:val="24"/>
          <w:szCs w:val="24"/>
        </w:rPr>
        <w:t xml:space="preserve">; its </w:t>
      </w:r>
      <w:r w:rsidR="008D018D">
        <w:rPr>
          <w:rFonts w:ascii="Times New Roman" w:hAnsi="Times New Roman" w:cs="Times New Roman"/>
          <w:sz w:val="24"/>
          <w:szCs w:val="24"/>
        </w:rPr>
        <w:t>contribution</w:t>
      </w:r>
      <w:r w:rsidRPr="00477F96">
        <w:rPr>
          <w:rFonts w:ascii="Times New Roman" w:hAnsi="Times New Roman" w:cs="Times New Roman"/>
          <w:sz w:val="24"/>
          <w:szCs w:val="24"/>
        </w:rPr>
        <w:t xml:space="preserve"> stood at 45.7% of GDP in Gaza Strip while it constituted 35.5% of GDP in the West Bank.  The wholesale and retail trade activities ranked second, contributing 25.5% of GDP in Gaza Strip compared to 19.4% in the West Bank.  In contrast, the industry activities share stood at 14.0% in the West Bank compared to 10.3% in Gaza Strip, the agriculture activities contribution reached to 4.8% of GDP in Gaza Strip compared to 2.6% in the West Bank.  (See figure below).</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013772" w:rsidRDefault="00CD4514" w:rsidP="00477F96">
      <w:pPr>
        <w:spacing w:after="0" w:line="240" w:lineRule="auto"/>
        <w:jc w:val="center"/>
        <w:rPr>
          <w:rFonts w:ascii="Arial" w:hAnsi="Arial" w:cs="Arial"/>
          <w:b/>
          <w:bCs/>
        </w:rPr>
      </w:pPr>
      <w:r w:rsidRPr="00013772">
        <w:rPr>
          <w:rFonts w:ascii="Arial" w:hAnsi="Arial" w:cs="Arial"/>
          <w:b/>
          <w:bCs/>
        </w:rPr>
        <w:t>Percentage contribution* of economic activities to GDP by region, 2018 at constant prices: base year 2015</w:t>
      </w:r>
    </w:p>
    <w:tbl>
      <w:tblPr>
        <w:tblStyle w:val="TableGrid"/>
        <w:tblW w:w="0" w:type="auto"/>
        <w:tblInd w:w="108" w:type="dxa"/>
        <w:tblLook w:val="04A0"/>
      </w:tblPr>
      <w:tblGrid>
        <w:gridCol w:w="9107"/>
      </w:tblGrid>
      <w:tr w:rsidR="00CD4514" w:rsidRPr="00477F96" w:rsidTr="00013772">
        <w:tc>
          <w:tcPr>
            <w:tcW w:w="9107" w:type="dxa"/>
          </w:tcPr>
          <w:p w:rsidR="00CD4514" w:rsidRPr="00477F96" w:rsidRDefault="00CD4514" w:rsidP="00477F96">
            <w:pPr>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626376" cy="2552369"/>
                  <wp:effectExtent l="19050" t="0" r="0"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CD4514" w:rsidRDefault="00CD4514" w:rsidP="00477F96">
      <w:pPr>
        <w:spacing w:after="0" w:line="240" w:lineRule="auto"/>
        <w:rPr>
          <w:rFonts w:ascii="Times New Roman" w:hAnsi="Times New Roman" w:cs="Times New Roman"/>
          <w:b/>
          <w:bCs/>
          <w:sz w:val="28"/>
          <w:szCs w:val="28"/>
        </w:rPr>
      </w:pPr>
      <w:r w:rsidRPr="00477F96">
        <w:rPr>
          <w:rFonts w:ascii="Times New Roman" w:hAnsi="Times New Roman" w:cs="Times New Roman"/>
          <w:sz w:val="18"/>
          <w:szCs w:val="18"/>
        </w:rPr>
        <w:t>(*)</w:t>
      </w:r>
      <w:r w:rsidRPr="00477F96">
        <w:rPr>
          <w:rFonts w:ascii="Times New Roman" w:hAnsi="Times New Roman" w:cs="Times New Roman"/>
          <w:b/>
          <w:bCs/>
          <w:sz w:val="24"/>
          <w:szCs w:val="24"/>
        </w:rPr>
        <w:t xml:space="preserve"> </w:t>
      </w:r>
      <w:r w:rsidRPr="00477F96">
        <w:rPr>
          <w:rFonts w:ascii="Times New Roman" w:hAnsi="Times New Roman" w:cs="Times New Roman"/>
          <w:sz w:val="18"/>
          <w:szCs w:val="18"/>
        </w:rPr>
        <w:t>The summation of percentages is not equal 100 due to exclusion of the adjustment items.</w:t>
      </w:r>
      <w:r w:rsidRPr="00477F96">
        <w:rPr>
          <w:rFonts w:ascii="Times New Roman" w:hAnsi="Times New Roman" w:cs="Times New Roman"/>
          <w:sz w:val="18"/>
          <w:szCs w:val="18"/>
        </w:rPr>
        <w:br/>
      </w:r>
    </w:p>
    <w:p w:rsidR="00CD4514" w:rsidRDefault="00ED301B" w:rsidP="00477F96">
      <w:pPr>
        <w:spacing w:after="0" w:line="240" w:lineRule="auto"/>
        <w:jc w:val="both"/>
        <w:rPr>
          <w:rFonts w:ascii="Times New Roman" w:hAnsi="Times New Roman" w:cs="Times New Roman"/>
          <w:b/>
          <w:bCs/>
          <w:sz w:val="24"/>
          <w:szCs w:val="24"/>
        </w:rPr>
      </w:pPr>
      <w:r w:rsidRPr="00737F71">
        <w:rPr>
          <w:rFonts w:ascii="Times New Roman" w:hAnsi="Times New Roman" w:cs="Times New Roman"/>
          <w:b/>
          <w:bCs/>
          <w:sz w:val="24"/>
          <w:szCs w:val="24"/>
        </w:rPr>
        <w:t xml:space="preserve">1.2 </w:t>
      </w:r>
      <w:proofErr w:type="spellStart"/>
      <w:r w:rsidR="00CD4514" w:rsidRPr="00737F71">
        <w:rPr>
          <w:rFonts w:ascii="Times New Roman" w:hAnsi="Times New Roman" w:cs="Times New Roman"/>
          <w:b/>
          <w:bCs/>
          <w:sz w:val="24"/>
          <w:szCs w:val="24"/>
        </w:rPr>
        <w:t>Labor</w:t>
      </w:r>
      <w:proofErr w:type="spellEnd"/>
      <w:r w:rsidR="00CD4514" w:rsidRPr="00737F71">
        <w:rPr>
          <w:rFonts w:ascii="Times New Roman" w:hAnsi="Times New Roman" w:cs="Times New Roman"/>
          <w:b/>
          <w:bCs/>
          <w:sz w:val="24"/>
          <w:szCs w:val="24"/>
        </w:rPr>
        <w:t xml:space="preserve"> Market</w:t>
      </w:r>
      <w:r w:rsidR="00CD4514" w:rsidRPr="00737F71">
        <w:rPr>
          <w:rStyle w:val="FootnoteReference"/>
          <w:rFonts w:ascii="Times New Roman" w:hAnsi="Times New Roman" w:cs="Times New Roman"/>
          <w:b/>
          <w:bCs/>
          <w:sz w:val="24"/>
          <w:szCs w:val="24"/>
        </w:rPr>
        <w:footnoteReference w:id="2"/>
      </w:r>
    </w:p>
    <w:p w:rsidR="00B84D02" w:rsidRDefault="00CD4514" w:rsidP="00B84D02">
      <w:pPr>
        <w:spacing w:after="0" w:line="240" w:lineRule="auto"/>
        <w:jc w:val="both"/>
        <w:rPr>
          <w:rFonts w:ascii="Times New Roman" w:hAnsi="Times New Roman" w:cs="Times New Roman"/>
          <w:sz w:val="24"/>
          <w:szCs w:val="24"/>
        </w:rPr>
      </w:pP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is the most important production factor in the Palestinian economy, especially in the face of limited natural resources and Israeli control over land, water and mobility of people, goods and capital.  Table (3) shows the main </w:t>
      </w: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market indicators in the years 2013-2018</w:t>
      </w:r>
      <w:r w:rsidR="00B84D02">
        <w:rPr>
          <w:rFonts w:ascii="Times New Roman" w:hAnsi="Times New Roman" w:cs="Times New Roman"/>
          <w:sz w:val="24"/>
          <w:szCs w:val="24"/>
        </w:rPr>
        <w:t>.</w:t>
      </w: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B84D02" w:rsidRDefault="00B84D02" w:rsidP="00B84D02">
      <w:pPr>
        <w:spacing w:after="0" w:line="240" w:lineRule="auto"/>
        <w:jc w:val="both"/>
        <w:rPr>
          <w:rFonts w:ascii="Times New Roman" w:hAnsi="Times New Roman" w:cs="Times New Roman"/>
          <w:sz w:val="24"/>
          <w:szCs w:val="24"/>
        </w:rPr>
      </w:pPr>
    </w:p>
    <w:p w:rsidR="00CD4514" w:rsidRPr="00477F96" w:rsidRDefault="00CD4514" w:rsidP="00B84D02">
      <w:pPr>
        <w:spacing w:after="0" w:line="240" w:lineRule="auto"/>
        <w:jc w:val="both"/>
        <w:rPr>
          <w:rFonts w:ascii="Times New Roman" w:hAnsi="Times New Roman" w:cs="Times New Roman"/>
          <w:sz w:val="24"/>
          <w:szCs w:val="24"/>
        </w:rPr>
      </w:pPr>
      <w:r w:rsidRPr="00477F96">
        <w:rPr>
          <w:rFonts w:ascii="Times New Roman" w:hAnsi="Times New Roman" w:cs="Times New Roman"/>
          <w:sz w:val="24"/>
          <w:szCs w:val="24"/>
        </w:rPr>
        <w:t xml:space="preserve"> </w:t>
      </w:r>
    </w:p>
    <w:p w:rsidR="00CD4514" w:rsidRPr="00477F96" w:rsidRDefault="00CD4514" w:rsidP="00477F96">
      <w:pPr>
        <w:spacing w:after="0" w:line="240" w:lineRule="auto"/>
        <w:jc w:val="center"/>
        <w:rPr>
          <w:rFonts w:ascii="Times New Roman" w:hAnsi="Times New Roman" w:cs="Times New Roman"/>
          <w:b/>
          <w:bCs/>
          <w:sz w:val="24"/>
          <w:szCs w:val="24"/>
        </w:rPr>
      </w:pPr>
    </w:p>
    <w:p w:rsidR="00CD4514" w:rsidRDefault="00CD4514" w:rsidP="00477F96">
      <w:pPr>
        <w:spacing w:after="0" w:line="240" w:lineRule="auto"/>
        <w:jc w:val="center"/>
        <w:rPr>
          <w:rFonts w:ascii="Arial" w:hAnsi="Arial" w:cs="Arial"/>
          <w:b/>
          <w:bCs/>
          <w:lang w:eastAsia="ar-SA"/>
        </w:rPr>
      </w:pPr>
      <w:r w:rsidRPr="00E73E95">
        <w:rPr>
          <w:rFonts w:ascii="Arial" w:hAnsi="Arial" w:cs="Arial"/>
          <w:b/>
          <w:bCs/>
        </w:rPr>
        <w:lastRenderedPageBreak/>
        <w:t xml:space="preserve">Table 3: </w:t>
      </w:r>
      <w:proofErr w:type="spellStart"/>
      <w:r w:rsidRPr="00E73E95">
        <w:rPr>
          <w:rFonts w:ascii="Arial" w:hAnsi="Arial" w:cs="Arial"/>
          <w:b/>
          <w:bCs/>
          <w:lang w:eastAsia="ar-SA"/>
        </w:rPr>
        <w:t>Labor</w:t>
      </w:r>
      <w:proofErr w:type="spellEnd"/>
      <w:r w:rsidRPr="00E73E95">
        <w:rPr>
          <w:rFonts w:ascii="Arial" w:hAnsi="Arial" w:cs="Arial"/>
          <w:b/>
          <w:bCs/>
          <w:lang w:eastAsia="ar-SA"/>
        </w:rPr>
        <w:t xml:space="preserve"> market indicators for individuals aged 15 years and above by region, 2013-2018</w:t>
      </w:r>
    </w:p>
    <w:p w:rsidR="00E73E95" w:rsidRPr="00E73E95" w:rsidRDefault="00E73E95" w:rsidP="00477F96">
      <w:pPr>
        <w:spacing w:after="0" w:line="240" w:lineRule="auto"/>
        <w:jc w:val="center"/>
        <w:rPr>
          <w:rFonts w:ascii="Arial" w:hAnsi="Arial" w:cs="Arial"/>
          <w:b/>
          <w:bCs/>
          <w:sz w:val="12"/>
          <w:szCs w:val="12"/>
          <w:lang w:eastAsia="ar-SA"/>
        </w:rPr>
      </w:pPr>
    </w:p>
    <w:tbl>
      <w:tblPr>
        <w:tblW w:w="9072" w:type="dxa"/>
        <w:jc w:val="center"/>
        <w:tblLook w:val="0000"/>
      </w:tblPr>
      <w:tblGrid>
        <w:gridCol w:w="3236"/>
        <w:gridCol w:w="970"/>
        <w:gridCol w:w="973"/>
        <w:gridCol w:w="971"/>
        <w:gridCol w:w="973"/>
        <w:gridCol w:w="971"/>
        <w:gridCol w:w="978"/>
      </w:tblGrid>
      <w:tr w:rsidR="00CD4514" w:rsidRPr="00A77491" w:rsidTr="00015E54">
        <w:trPr>
          <w:trHeight w:val="340"/>
          <w:jc w:val="center"/>
        </w:trPr>
        <w:tc>
          <w:tcPr>
            <w:tcW w:w="1784" w:type="pct"/>
            <w:tcBorders>
              <w:top w:val="single" w:sz="12" w:space="0" w:color="auto"/>
              <w:bottom w:val="single" w:sz="12" w:space="0" w:color="auto"/>
            </w:tcBorders>
            <w:vAlign w:val="center"/>
          </w:tcPr>
          <w:p w:rsidR="00CD4514" w:rsidRPr="00993561" w:rsidRDefault="00CD4514" w:rsidP="00477F96">
            <w:pPr>
              <w:pStyle w:val="Footer"/>
              <w:tabs>
                <w:tab w:val="clear" w:pos="4153"/>
                <w:tab w:val="clear" w:pos="8306"/>
              </w:tabs>
              <w:jc w:val="center"/>
              <w:rPr>
                <w:rFonts w:ascii="Arial" w:hAnsi="Arial" w:cs="Arial"/>
                <w:b/>
                <w:bCs/>
                <w:sz w:val="18"/>
                <w:szCs w:val="18"/>
              </w:rPr>
            </w:pPr>
            <w:r w:rsidRPr="00993561">
              <w:rPr>
                <w:rFonts w:ascii="Arial" w:hAnsi="Arial" w:cs="Arial"/>
                <w:b/>
                <w:bCs/>
                <w:sz w:val="18"/>
                <w:szCs w:val="18"/>
              </w:rPr>
              <w:t>Indicator</w:t>
            </w:r>
          </w:p>
        </w:tc>
        <w:tc>
          <w:tcPr>
            <w:tcW w:w="535" w:type="pct"/>
            <w:tcBorders>
              <w:top w:val="single" w:sz="12" w:space="0" w:color="auto"/>
              <w:bottom w:val="single" w:sz="12" w:space="0" w:color="auto"/>
            </w:tcBorders>
            <w:vAlign w:val="center"/>
          </w:tcPr>
          <w:p w:rsidR="00CD4514" w:rsidRPr="00993561" w:rsidRDefault="00CD4514" w:rsidP="00477F96">
            <w:pPr>
              <w:spacing w:after="0" w:line="240" w:lineRule="auto"/>
              <w:ind w:firstLineChars="100" w:firstLine="181"/>
              <w:jc w:val="center"/>
              <w:rPr>
                <w:rFonts w:ascii="Arial" w:eastAsia="Times New Roman" w:hAnsi="Arial" w:cs="Arial"/>
                <w:b/>
                <w:bCs/>
                <w:sz w:val="18"/>
                <w:szCs w:val="18"/>
                <w:lang w:eastAsia="ar-SA"/>
              </w:rPr>
            </w:pPr>
            <w:r w:rsidRPr="00993561">
              <w:rPr>
                <w:rFonts w:ascii="Arial" w:eastAsia="Times New Roman" w:hAnsi="Arial" w:cs="Arial"/>
                <w:b/>
                <w:bCs/>
                <w:sz w:val="18"/>
                <w:szCs w:val="18"/>
                <w:lang w:eastAsia="ar-SA"/>
              </w:rPr>
              <w:t>2013</w:t>
            </w:r>
          </w:p>
        </w:tc>
        <w:tc>
          <w:tcPr>
            <w:tcW w:w="536" w:type="pct"/>
            <w:tcBorders>
              <w:top w:val="single" w:sz="12" w:space="0" w:color="auto"/>
              <w:bottom w:val="single" w:sz="12" w:space="0" w:color="auto"/>
            </w:tcBorders>
            <w:vAlign w:val="center"/>
          </w:tcPr>
          <w:p w:rsidR="00CD4514" w:rsidRPr="00993561" w:rsidRDefault="00CD4514" w:rsidP="00477F96">
            <w:pPr>
              <w:spacing w:after="0" w:line="240" w:lineRule="auto"/>
              <w:ind w:firstLineChars="100" w:firstLine="181"/>
              <w:jc w:val="center"/>
              <w:rPr>
                <w:rFonts w:ascii="Arial" w:eastAsia="Times New Roman" w:hAnsi="Arial" w:cs="Arial"/>
                <w:b/>
                <w:bCs/>
                <w:sz w:val="18"/>
                <w:szCs w:val="18"/>
                <w:lang w:eastAsia="ar-SA"/>
              </w:rPr>
            </w:pPr>
            <w:r w:rsidRPr="00993561">
              <w:rPr>
                <w:rFonts w:ascii="Arial" w:eastAsia="Times New Roman" w:hAnsi="Arial" w:cs="Arial"/>
                <w:b/>
                <w:bCs/>
                <w:sz w:val="18"/>
                <w:szCs w:val="18"/>
                <w:lang w:eastAsia="ar-SA"/>
              </w:rPr>
              <w:t>2014</w:t>
            </w:r>
          </w:p>
        </w:tc>
        <w:tc>
          <w:tcPr>
            <w:tcW w:w="535" w:type="pct"/>
            <w:tcBorders>
              <w:top w:val="single" w:sz="12" w:space="0" w:color="auto"/>
              <w:bottom w:val="single" w:sz="12" w:space="0" w:color="auto"/>
            </w:tcBorders>
            <w:vAlign w:val="center"/>
          </w:tcPr>
          <w:p w:rsidR="00CD4514" w:rsidRPr="00993561" w:rsidRDefault="00CD4514" w:rsidP="00477F96">
            <w:pPr>
              <w:spacing w:after="0" w:line="240" w:lineRule="auto"/>
              <w:ind w:firstLineChars="100" w:firstLine="181"/>
              <w:jc w:val="center"/>
              <w:rPr>
                <w:rFonts w:ascii="Arial" w:eastAsia="Times New Roman" w:hAnsi="Arial" w:cs="Arial"/>
                <w:b/>
                <w:bCs/>
                <w:sz w:val="18"/>
                <w:szCs w:val="18"/>
                <w:lang w:eastAsia="ar-SA"/>
              </w:rPr>
            </w:pPr>
            <w:r w:rsidRPr="00993561">
              <w:rPr>
                <w:rFonts w:ascii="Arial" w:eastAsia="Times New Roman" w:hAnsi="Arial" w:cs="Arial"/>
                <w:b/>
                <w:bCs/>
                <w:sz w:val="18"/>
                <w:szCs w:val="18"/>
                <w:lang w:eastAsia="ar-SA"/>
              </w:rPr>
              <w:t>2015</w:t>
            </w:r>
          </w:p>
        </w:tc>
        <w:tc>
          <w:tcPr>
            <w:tcW w:w="536" w:type="pct"/>
            <w:tcBorders>
              <w:top w:val="single" w:sz="12" w:space="0" w:color="auto"/>
              <w:bottom w:val="single" w:sz="12" w:space="0" w:color="auto"/>
            </w:tcBorders>
            <w:vAlign w:val="center"/>
          </w:tcPr>
          <w:p w:rsidR="00CD4514" w:rsidRPr="00993561" w:rsidRDefault="00CD4514" w:rsidP="00477F96">
            <w:pPr>
              <w:spacing w:after="0" w:line="240" w:lineRule="auto"/>
              <w:ind w:firstLineChars="100" w:firstLine="181"/>
              <w:jc w:val="center"/>
              <w:rPr>
                <w:rFonts w:ascii="Arial" w:eastAsia="Times New Roman" w:hAnsi="Arial" w:cs="Arial"/>
                <w:b/>
                <w:bCs/>
                <w:sz w:val="18"/>
                <w:szCs w:val="18"/>
                <w:lang w:eastAsia="ar-SA"/>
              </w:rPr>
            </w:pPr>
            <w:r w:rsidRPr="00993561">
              <w:rPr>
                <w:rFonts w:ascii="Arial" w:eastAsia="Times New Roman" w:hAnsi="Arial" w:cs="Arial"/>
                <w:b/>
                <w:bCs/>
                <w:sz w:val="18"/>
                <w:szCs w:val="18"/>
                <w:lang w:eastAsia="ar-SA"/>
              </w:rPr>
              <w:t>2016</w:t>
            </w:r>
          </w:p>
        </w:tc>
        <w:tc>
          <w:tcPr>
            <w:tcW w:w="535" w:type="pct"/>
            <w:tcBorders>
              <w:top w:val="single" w:sz="12" w:space="0" w:color="auto"/>
              <w:bottom w:val="single" w:sz="12" w:space="0" w:color="auto"/>
            </w:tcBorders>
            <w:vAlign w:val="center"/>
          </w:tcPr>
          <w:p w:rsidR="00CD4514" w:rsidRPr="00993561" w:rsidRDefault="00CD4514" w:rsidP="00477F96">
            <w:pPr>
              <w:spacing w:after="0" w:line="240" w:lineRule="auto"/>
              <w:ind w:firstLineChars="100" w:firstLine="181"/>
              <w:jc w:val="center"/>
              <w:rPr>
                <w:rFonts w:ascii="Arial" w:eastAsia="Times New Roman" w:hAnsi="Arial" w:cs="Arial"/>
                <w:b/>
                <w:bCs/>
                <w:sz w:val="18"/>
                <w:szCs w:val="18"/>
                <w:lang w:eastAsia="ar-SA"/>
              </w:rPr>
            </w:pPr>
            <w:r w:rsidRPr="00993561">
              <w:rPr>
                <w:rFonts w:ascii="Arial" w:eastAsia="Times New Roman" w:hAnsi="Arial" w:cs="Arial"/>
                <w:b/>
                <w:bCs/>
                <w:sz w:val="18"/>
                <w:szCs w:val="18"/>
                <w:lang w:eastAsia="ar-SA"/>
              </w:rPr>
              <w:t>2017</w:t>
            </w:r>
          </w:p>
        </w:tc>
        <w:tc>
          <w:tcPr>
            <w:tcW w:w="539" w:type="pct"/>
            <w:tcBorders>
              <w:top w:val="single" w:sz="12" w:space="0" w:color="auto"/>
              <w:bottom w:val="single" w:sz="12" w:space="0" w:color="auto"/>
            </w:tcBorders>
            <w:vAlign w:val="center"/>
          </w:tcPr>
          <w:p w:rsidR="00CD4514" w:rsidRPr="00993561" w:rsidRDefault="00CD4514" w:rsidP="00477F96">
            <w:pPr>
              <w:spacing w:after="0" w:line="240" w:lineRule="auto"/>
              <w:ind w:firstLineChars="100" w:firstLine="181"/>
              <w:jc w:val="center"/>
              <w:rPr>
                <w:rFonts w:ascii="Arial" w:eastAsia="Times New Roman" w:hAnsi="Arial" w:cs="Arial"/>
                <w:b/>
                <w:bCs/>
                <w:sz w:val="18"/>
                <w:szCs w:val="18"/>
                <w:lang w:eastAsia="ar-SA"/>
              </w:rPr>
            </w:pPr>
            <w:r w:rsidRPr="00993561">
              <w:rPr>
                <w:rFonts w:ascii="Arial" w:eastAsia="Times New Roman" w:hAnsi="Arial" w:cs="Arial"/>
                <w:b/>
                <w:bCs/>
                <w:sz w:val="18"/>
                <w:szCs w:val="18"/>
                <w:lang w:eastAsia="ar-SA"/>
              </w:rPr>
              <w:t>2018</w:t>
            </w:r>
          </w:p>
        </w:tc>
      </w:tr>
      <w:tr w:rsidR="00CD4514" w:rsidRPr="00A77491" w:rsidTr="00015E54">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993561" w:rsidRDefault="00CD4514" w:rsidP="00477F96">
            <w:pPr>
              <w:spacing w:after="0" w:line="240" w:lineRule="auto"/>
              <w:jc w:val="center"/>
              <w:rPr>
                <w:rFonts w:ascii="Arial" w:hAnsi="Arial" w:cs="Arial"/>
                <w:b/>
                <w:bCs/>
                <w:sz w:val="18"/>
                <w:szCs w:val="18"/>
              </w:rPr>
            </w:pPr>
            <w:r w:rsidRPr="00993561">
              <w:rPr>
                <w:rFonts w:ascii="Arial" w:hAnsi="Arial" w:cs="Arial"/>
                <w:b/>
                <w:bCs/>
                <w:sz w:val="18"/>
                <w:szCs w:val="18"/>
              </w:rPr>
              <w:t>Palestine</w:t>
            </w:r>
          </w:p>
        </w:tc>
      </w:tr>
      <w:tr w:rsidR="00CD4514" w:rsidRPr="00A77491" w:rsidTr="006045BF">
        <w:trPr>
          <w:trHeight w:val="340"/>
          <w:jc w:val="center"/>
        </w:trPr>
        <w:tc>
          <w:tcPr>
            <w:tcW w:w="1784" w:type="pct"/>
            <w:tcBorders>
              <w:top w:val="single" w:sz="12" w:space="0" w:color="auto"/>
            </w:tcBorders>
            <w:vAlign w:val="center"/>
          </w:tcPr>
          <w:p w:rsidR="00CD4514" w:rsidRPr="00993561" w:rsidRDefault="00CD4514" w:rsidP="00477F96">
            <w:pPr>
              <w:pStyle w:val="Footer"/>
              <w:tabs>
                <w:tab w:val="clear" w:pos="4153"/>
                <w:tab w:val="clear" w:pos="8306"/>
              </w:tabs>
              <w:rPr>
                <w:rFonts w:ascii="Arial" w:hAnsi="Arial" w:cs="Arial"/>
                <w:sz w:val="18"/>
                <w:szCs w:val="18"/>
              </w:rPr>
            </w:pPr>
            <w:proofErr w:type="spellStart"/>
            <w:r w:rsidRPr="00993561">
              <w:rPr>
                <w:rFonts w:ascii="Arial" w:hAnsi="Arial" w:cs="Arial"/>
                <w:sz w:val="18"/>
                <w:szCs w:val="18"/>
              </w:rPr>
              <w:t>Labor</w:t>
            </w:r>
            <w:proofErr w:type="spellEnd"/>
            <w:r w:rsidRPr="00993561">
              <w:rPr>
                <w:rFonts w:ascii="Arial" w:hAnsi="Arial" w:cs="Arial"/>
                <w:sz w:val="18"/>
                <w:szCs w:val="18"/>
              </w:rPr>
              <w:t xml:space="preserve"> force (thousand person)</w:t>
            </w:r>
          </w:p>
        </w:tc>
        <w:tc>
          <w:tcPr>
            <w:tcW w:w="535" w:type="pct"/>
            <w:tcBorders>
              <w:top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1,112.5</w:t>
            </w:r>
          </w:p>
        </w:tc>
        <w:tc>
          <w:tcPr>
            <w:tcW w:w="536" w:type="pct"/>
            <w:tcBorders>
              <w:top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1,210.1</w:t>
            </w:r>
          </w:p>
        </w:tc>
        <w:tc>
          <w:tcPr>
            <w:tcW w:w="535" w:type="pct"/>
            <w:tcBorders>
              <w:top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1,243.8</w:t>
            </w:r>
          </w:p>
        </w:tc>
        <w:tc>
          <w:tcPr>
            <w:tcW w:w="536" w:type="pct"/>
            <w:tcBorders>
              <w:top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1,272.8</w:t>
            </w:r>
          </w:p>
        </w:tc>
        <w:tc>
          <w:tcPr>
            <w:tcW w:w="535" w:type="pct"/>
            <w:tcBorders>
              <w:top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1,305.1</w:t>
            </w:r>
          </w:p>
        </w:tc>
        <w:tc>
          <w:tcPr>
            <w:tcW w:w="539" w:type="pct"/>
            <w:tcBorders>
              <w:top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1,340.1</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Employed  persons (thousand person)</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849.0 </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880.0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917.9</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926.0</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929.8 </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918.8 </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proofErr w:type="spellStart"/>
            <w:r w:rsidRPr="00993561">
              <w:rPr>
                <w:rFonts w:ascii="Arial" w:hAnsi="Arial" w:cs="Arial"/>
                <w:sz w:val="18"/>
                <w:szCs w:val="18"/>
              </w:rPr>
              <w:t>Labor</w:t>
            </w:r>
            <w:proofErr w:type="spellEnd"/>
            <w:r w:rsidRPr="00993561">
              <w:rPr>
                <w:rFonts w:ascii="Arial" w:hAnsi="Arial" w:cs="Arial"/>
                <w:sz w:val="18"/>
                <w:szCs w:val="18"/>
              </w:rPr>
              <w:t xml:space="preserve"> force Participation rate (%)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44.6</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46.8</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46.6</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46.4</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46.4</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47.2</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Unemployment rate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23.7</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27.3</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26.2</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27.2</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28.8</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31.4</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Nominal average daily wage (NIS)</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95.6</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99.7</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102.1</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107.2</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111.4</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118.8</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Real average daily wage (NIS)*</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88.9</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91.1</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92.0</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96.8</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100.4</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107.3</w:t>
            </w:r>
          </w:p>
        </w:tc>
      </w:tr>
      <w:tr w:rsidR="00CD4514" w:rsidRPr="00A77491" w:rsidTr="006045BF">
        <w:trPr>
          <w:trHeight w:val="340"/>
          <w:jc w:val="center"/>
        </w:trPr>
        <w:tc>
          <w:tcPr>
            <w:tcW w:w="1784" w:type="pct"/>
            <w:tcBorders>
              <w:bottom w:val="single" w:sz="12" w:space="0" w:color="auto"/>
            </w:tcBorders>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Average value added per employed person</w:t>
            </w:r>
            <w:proofErr w:type="spellStart"/>
            <w:r w:rsidRPr="00993561">
              <w:rPr>
                <w:rFonts w:ascii="Arial" w:hAnsi="Arial" w:cs="Arial"/>
                <w:sz w:val="18"/>
                <w:szCs w:val="18"/>
                <w:rtl/>
              </w:rPr>
              <w:t>*</w:t>
            </w:r>
            <w:proofErr w:type="spellEnd"/>
            <w:r w:rsidRPr="00993561">
              <w:rPr>
                <w:rFonts w:ascii="Arial" w:hAnsi="Arial" w:cs="Arial"/>
                <w:sz w:val="18"/>
                <w:szCs w:val="18"/>
              </w:rPr>
              <w:t>* (USD/ employed person)</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14,291.0</w:t>
            </w:r>
          </w:p>
        </w:tc>
        <w:tc>
          <w:tcPr>
            <w:tcW w:w="536"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13,757.2</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13,422.7</w:t>
            </w:r>
          </w:p>
        </w:tc>
        <w:tc>
          <w:tcPr>
            <w:tcW w:w="536"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13,855.3</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14,303.2</w:t>
            </w:r>
          </w:p>
        </w:tc>
        <w:tc>
          <w:tcPr>
            <w:tcW w:w="539"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14,858.9</w:t>
            </w:r>
          </w:p>
        </w:tc>
      </w:tr>
      <w:tr w:rsidR="00CD4514" w:rsidRPr="00A77491" w:rsidTr="00015E54">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993561" w:rsidRDefault="00CD4514" w:rsidP="00477F96">
            <w:pPr>
              <w:spacing w:after="0" w:line="240" w:lineRule="auto"/>
              <w:jc w:val="center"/>
              <w:rPr>
                <w:rFonts w:ascii="Arial" w:hAnsi="Arial" w:cs="Arial"/>
                <w:b/>
                <w:bCs/>
                <w:sz w:val="18"/>
                <w:szCs w:val="18"/>
              </w:rPr>
            </w:pPr>
            <w:r w:rsidRPr="00993561">
              <w:rPr>
                <w:rFonts w:ascii="Arial" w:hAnsi="Arial" w:cs="Arial"/>
                <w:b/>
                <w:bCs/>
                <w:sz w:val="18"/>
                <w:szCs w:val="18"/>
              </w:rPr>
              <w:t>West Bank</w:t>
            </w:r>
          </w:p>
        </w:tc>
      </w:tr>
      <w:tr w:rsidR="00CD4514" w:rsidRPr="00A77491" w:rsidTr="006045BF">
        <w:trPr>
          <w:trHeight w:val="340"/>
          <w:jc w:val="center"/>
        </w:trPr>
        <w:tc>
          <w:tcPr>
            <w:tcW w:w="1784" w:type="pct"/>
            <w:tcBorders>
              <w:top w:val="single" w:sz="12" w:space="0" w:color="auto"/>
            </w:tcBorders>
            <w:vAlign w:val="center"/>
          </w:tcPr>
          <w:p w:rsidR="00CD4514" w:rsidRPr="00993561" w:rsidRDefault="00CD4514" w:rsidP="00477F96">
            <w:pPr>
              <w:pStyle w:val="Footer"/>
              <w:tabs>
                <w:tab w:val="clear" w:pos="4153"/>
                <w:tab w:val="clear" w:pos="8306"/>
              </w:tabs>
              <w:rPr>
                <w:rFonts w:ascii="Arial" w:hAnsi="Arial" w:cs="Arial"/>
                <w:sz w:val="18"/>
                <w:szCs w:val="18"/>
              </w:rPr>
            </w:pPr>
            <w:proofErr w:type="spellStart"/>
            <w:r w:rsidRPr="00993561">
              <w:rPr>
                <w:rFonts w:ascii="Arial" w:hAnsi="Arial" w:cs="Arial"/>
                <w:sz w:val="18"/>
                <w:szCs w:val="18"/>
              </w:rPr>
              <w:t>Labor</w:t>
            </w:r>
            <w:proofErr w:type="spellEnd"/>
            <w:r w:rsidRPr="00993561">
              <w:rPr>
                <w:rFonts w:ascii="Arial" w:hAnsi="Arial" w:cs="Arial"/>
                <w:sz w:val="18"/>
                <w:szCs w:val="18"/>
              </w:rPr>
              <w:t xml:space="preserve"> force (thousand person)</w:t>
            </w:r>
          </w:p>
        </w:tc>
        <w:tc>
          <w:tcPr>
            <w:tcW w:w="535"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714.5</w:t>
            </w:r>
          </w:p>
        </w:tc>
        <w:tc>
          <w:tcPr>
            <w:tcW w:w="536"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766.3</w:t>
            </w:r>
          </w:p>
        </w:tc>
        <w:tc>
          <w:tcPr>
            <w:tcW w:w="535"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775.9</w:t>
            </w:r>
          </w:p>
        </w:tc>
        <w:tc>
          <w:tcPr>
            <w:tcW w:w="536"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781.3</w:t>
            </w:r>
          </w:p>
        </w:tc>
        <w:tc>
          <w:tcPr>
            <w:tcW w:w="535"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803.3</w:t>
            </w:r>
          </w:p>
        </w:tc>
        <w:tc>
          <w:tcPr>
            <w:tcW w:w="539"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810.8</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Employed  persons (thousand person)</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580.2 </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630.2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641.9</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639.8</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650.7</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664.5</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proofErr w:type="spellStart"/>
            <w:r w:rsidRPr="00993561">
              <w:rPr>
                <w:rFonts w:ascii="Arial" w:hAnsi="Arial" w:cs="Arial"/>
                <w:sz w:val="18"/>
                <w:szCs w:val="18"/>
              </w:rPr>
              <w:t>Labor</w:t>
            </w:r>
            <w:proofErr w:type="spellEnd"/>
            <w:r w:rsidRPr="00993561">
              <w:rPr>
                <w:rFonts w:ascii="Arial" w:hAnsi="Arial" w:cs="Arial"/>
                <w:sz w:val="18"/>
                <w:szCs w:val="18"/>
              </w:rPr>
              <w:t xml:space="preserve"> force Participation rate (%)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46.6</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48.2</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47.4</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46.6</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46.9</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47.4</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Unemployment rate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18.8</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17.8</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17.3</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18.1</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19.0</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18.0</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Nominal average daily wage (NIS)</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108.1</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111.3</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118.7</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126.5</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132.4</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139.4</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Real average daily wage (NIS)*</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97.3</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99.0</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104.2</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111.2</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116.4</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122.0</w:t>
            </w:r>
          </w:p>
        </w:tc>
      </w:tr>
      <w:tr w:rsidR="00CD4514" w:rsidRPr="00A77491" w:rsidTr="006045BF">
        <w:trPr>
          <w:trHeight w:val="340"/>
          <w:jc w:val="center"/>
        </w:trPr>
        <w:tc>
          <w:tcPr>
            <w:tcW w:w="1784" w:type="pct"/>
            <w:tcBorders>
              <w:bottom w:val="single" w:sz="12" w:space="0" w:color="auto"/>
            </w:tcBorders>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Average value added per employed person</w:t>
            </w:r>
            <w:proofErr w:type="spellStart"/>
            <w:r w:rsidRPr="00993561">
              <w:rPr>
                <w:rFonts w:ascii="Arial" w:hAnsi="Arial" w:cs="Arial"/>
                <w:sz w:val="18"/>
                <w:szCs w:val="18"/>
                <w:rtl/>
              </w:rPr>
              <w:t>*</w:t>
            </w:r>
            <w:proofErr w:type="spellEnd"/>
            <w:r w:rsidRPr="00993561">
              <w:rPr>
                <w:rFonts w:ascii="Arial" w:hAnsi="Arial" w:cs="Arial"/>
                <w:sz w:val="18"/>
                <w:szCs w:val="18"/>
              </w:rPr>
              <w:t>* (USD/ employed person)</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15,363.2</w:t>
            </w:r>
          </w:p>
        </w:tc>
        <w:tc>
          <w:tcPr>
            <w:tcW w:w="536"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14,819.9</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14,675.7</w:t>
            </w:r>
          </w:p>
        </w:tc>
        <w:tc>
          <w:tcPr>
            <w:tcW w:w="536"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15,147.4</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16,420.8</w:t>
            </w:r>
          </w:p>
        </w:tc>
        <w:tc>
          <w:tcPr>
            <w:tcW w:w="539"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16,930.3</w:t>
            </w:r>
          </w:p>
        </w:tc>
      </w:tr>
      <w:tr w:rsidR="00CD4514" w:rsidRPr="00A77491" w:rsidTr="00015E54">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CD4514" w:rsidRPr="00993561" w:rsidRDefault="00CD4514" w:rsidP="00477F96">
            <w:pPr>
              <w:spacing w:after="0" w:line="240" w:lineRule="auto"/>
              <w:jc w:val="center"/>
              <w:rPr>
                <w:rFonts w:ascii="Arial" w:hAnsi="Arial" w:cs="Arial"/>
                <w:b/>
                <w:bCs/>
                <w:sz w:val="18"/>
                <w:szCs w:val="18"/>
              </w:rPr>
            </w:pPr>
            <w:r w:rsidRPr="00993561">
              <w:rPr>
                <w:rFonts w:ascii="Arial" w:hAnsi="Arial" w:cs="Arial"/>
                <w:b/>
                <w:bCs/>
                <w:sz w:val="18"/>
                <w:szCs w:val="18"/>
              </w:rPr>
              <w:t>Gaza Strip</w:t>
            </w:r>
          </w:p>
        </w:tc>
      </w:tr>
      <w:tr w:rsidR="00CD4514" w:rsidRPr="00A77491" w:rsidTr="006045BF">
        <w:trPr>
          <w:trHeight w:val="340"/>
          <w:jc w:val="center"/>
        </w:trPr>
        <w:tc>
          <w:tcPr>
            <w:tcW w:w="1784" w:type="pct"/>
            <w:tcBorders>
              <w:top w:val="single" w:sz="12" w:space="0" w:color="auto"/>
            </w:tcBorders>
            <w:vAlign w:val="center"/>
          </w:tcPr>
          <w:p w:rsidR="00CD4514" w:rsidRPr="00993561" w:rsidRDefault="00CD4514" w:rsidP="00477F96">
            <w:pPr>
              <w:pStyle w:val="Footer"/>
              <w:tabs>
                <w:tab w:val="clear" w:pos="4153"/>
                <w:tab w:val="clear" w:pos="8306"/>
              </w:tabs>
              <w:rPr>
                <w:rFonts w:ascii="Arial" w:hAnsi="Arial" w:cs="Arial"/>
                <w:sz w:val="18"/>
                <w:szCs w:val="18"/>
              </w:rPr>
            </w:pPr>
            <w:proofErr w:type="spellStart"/>
            <w:r w:rsidRPr="00993561">
              <w:rPr>
                <w:rFonts w:ascii="Arial" w:hAnsi="Arial" w:cs="Arial"/>
                <w:sz w:val="18"/>
                <w:szCs w:val="18"/>
              </w:rPr>
              <w:t>Labor</w:t>
            </w:r>
            <w:proofErr w:type="spellEnd"/>
            <w:r w:rsidRPr="00993561">
              <w:rPr>
                <w:rFonts w:ascii="Arial" w:hAnsi="Arial" w:cs="Arial"/>
                <w:sz w:val="18"/>
                <w:szCs w:val="18"/>
              </w:rPr>
              <w:t xml:space="preserve"> force (thousand person)</w:t>
            </w:r>
          </w:p>
        </w:tc>
        <w:tc>
          <w:tcPr>
            <w:tcW w:w="535"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398.0</w:t>
            </w:r>
          </w:p>
        </w:tc>
        <w:tc>
          <w:tcPr>
            <w:tcW w:w="536"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443.8</w:t>
            </w:r>
          </w:p>
        </w:tc>
        <w:tc>
          <w:tcPr>
            <w:tcW w:w="535"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467.9</w:t>
            </w:r>
          </w:p>
        </w:tc>
        <w:tc>
          <w:tcPr>
            <w:tcW w:w="536"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491.5</w:t>
            </w:r>
          </w:p>
        </w:tc>
        <w:tc>
          <w:tcPr>
            <w:tcW w:w="535"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501.8</w:t>
            </w:r>
          </w:p>
        </w:tc>
        <w:tc>
          <w:tcPr>
            <w:tcW w:w="539" w:type="pct"/>
            <w:tcBorders>
              <w:top w:val="single" w:sz="12" w:space="0" w:color="auto"/>
            </w:tcBorders>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529.3</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Employed  persons (thousand person)</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268.8 </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249.8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 xml:space="preserve">276.0 </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286.2</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279.1</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254.3</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proofErr w:type="spellStart"/>
            <w:r w:rsidRPr="00993561">
              <w:rPr>
                <w:rFonts w:ascii="Arial" w:hAnsi="Arial" w:cs="Arial"/>
                <w:sz w:val="18"/>
                <w:szCs w:val="18"/>
              </w:rPr>
              <w:t>Labor</w:t>
            </w:r>
            <w:proofErr w:type="spellEnd"/>
            <w:r w:rsidRPr="00993561">
              <w:rPr>
                <w:rFonts w:ascii="Arial" w:hAnsi="Arial" w:cs="Arial"/>
                <w:sz w:val="18"/>
                <w:szCs w:val="18"/>
              </w:rPr>
              <w:t xml:space="preserve"> force Participation rate (%)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41.4</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44.5</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45.3</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46.1</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45.5</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46.9</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Unemployment rate (%)</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32.5</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43.7</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41.0</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41.8</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44.4</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52.0</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Nominal average daily wage (NIS)</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64.3</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63.6</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62.2</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61.9</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59.5</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63.1</w:t>
            </w:r>
          </w:p>
        </w:tc>
      </w:tr>
      <w:tr w:rsidR="00CD4514" w:rsidRPr="00A77491" w:rsidTr="006045BF">
        <w:trPr>
          <w:trHeight w:val="340"/>
          <w:jc w:val="center"/>
        </w:trPr>
        <w:tc>
          <w:tcPr>
            <w:tcW w:w="1784" w:type="pct"/>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Real average daily wage (NIS)*</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64.1</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61.7</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59.3</w:t>
            </w:r>
          </w:p>
        </w:tc>
        <w:tc>
          <w:tcPr>
            <w:tcW w:w="536"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59.5</w:t>
            </w:r>
          </w:p>
        </w:tc>
        <w:tc>
          <w:tcPr>
            <w:tcW w:w="535"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57.1</w:t>
            </w:r>
          </w:p>
        </w:tc>
        <w:tc>
          <w:tcPr>
            <w:tcW w:w="539" w:type="pct"/>
          </w:tcPr>
          <w:p w:rsidR="00CD4514" w:rsidRPr="00993561" w:rsidRDefault="00CD4514" w:rsidP="006045BF">
            <w:pPr>
              <w:spacing w:after="0" w:line="240" w:lineRule="auto"/>
              <w:ind w:firstLineChars="100" w:firstLine="180"/>
              <w:jc w:val="right"/>
              <w:rPr>
                <w:rFonts w:ascii="Arial" w:eastAsia="Times New Roman" w:hAnsi="Arial" w:cs="Arial"/>
                <w:sz w:val="18"/>
                <w:szCs w:val="18"/>
                <w:lang w:eastAsia="ar-SA"/>
              </w:rPr>
            </w:pPr>
            <w:r w:rsidRPr="00993561">
              <w:rPr>
                <w:rFonts w:ascii="Arial" w:eastAsia="Times New Roman" w:hAnsi="Arial" w:cs="Arial"/>
                <w:sz w:val="18"/>
                <w:szCs w:val="18"/>
                <w:lang w:eastAsia="ar-SA"/>
              </w:rPr>
              <w:t>61.4</w:t>
            </w:r>
          </w:p>
        </w:tc>
      </w:tr>
      <w:tr w:rsidR="00CD4514" w:rsidRPr="00A77491" w:rsidTr="006045BF">
        <w:trPr>
          <w:trHeight w:val="340"/>
          <w:jc w:val="center"/>
        </w:trPr>
        <w:tc>
          <w:tcPr>
            <w:tcW w:w="1784" w:type="pct"/>
            <w:tcBorders>
              <w:bottom w:val="single" w:sz="12" w:space="0" w:color="auto"/>
            </w:tcBorders>
            <w:vAlign w:val="center"/>
          </w:tcPr>
          <w:p w:rsidR="00CD4514" w:rsidRPr="00993561" w:rsidRDefault="00CD4514" w:rsidP="00477F96">
            <w:pPr>
              <w:pStyle w:val="Footer"/>
              <w:tabs>
                <w:tab w:val="clear" w:pos="4153"/>
                <w:tab w:val="clear" w:pos="8306"/>
              </w:tabs>
              <w:rPr>
                <w:rFonts w:ascii="Arial" w:hAnsi="Arial" w:cs="Arial"/>
                <w:sz w:val="18"/>
                <w:szCs w:val="18"/>
              </w:rPr>
            </w:pPr>
            <w:r w:rsidRPr="00993561">
              <w:rPr>
                <w:rFonts w:ascii="Arial" w:hAnsi="Arial" w:cs="Arial"/>
                <w:sz w:val="18"/>
                <w:szCs w:val="18"/>
              </w:rPr>
              <w:t>Average value added per employed person</w:t>
            </w:r>
            <w:proofErr w:type="spellStart"/>
            <w:r w:rsidRPr="00993561">
              <w:rPr>
                <w:rFonts w:ascii="Arial" w:hAnsi="Arial" w:cs="Arial"/>
                <w:sz w:val="18"/>
                <w:szCs w:val="18"/>
                <w:rtl/>
              </w:rPr>
              <w:t>*</w:t>
            </w:r>
            <w:proofErr w:type="spellEnd"/>
            <w:r w:rsidRPr="00993561">
              <w:rPr>
                <w:rFonts w:ascii="Arial" w:hAnsi="Arial" w:cs="Arial"/>
                <w:sz w:val="18"/>
                <w:szCs w:val="18"/>
              </w:rPr>
              <w:t>* (USD/ employed person)</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12,375.9</w:t>
            </w:r>
          </w:p>
        </w:tc>
        <w:tc>
          <w:tcPr>
            <w:tcW w:w="536"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11,483.1</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10,956.4</w:t>
            </w:r>
          </w:p>
        </w:tc>
        <w:tc>
          <w:tcPr>
            <w:tcW w:w="536"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11,423.6</w:t>
            </w:r>
          </w:p>
        </w:tc>
        <w:tc>
          <w:tcPr>
            <w:tcW w:w="535"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10,188.0</w:t>
            </w:r>
          </w:p>
        </w:tc>
        <w:tc>
          <w:tcPr>
            <w:tcW w:w="539" w:type="pct"/>
            <w:tcBorders>
              <w:bottom w:val="single" w:sz="12" w:space="0" w:color="auto"/>
            </w:tcBorders>
          </w:tcPr>
          <w:p w:rsidR="00CD4514" w:rsidRPr="00993561" w:rsidRDefault="00CD4514" w:rsidP="006045BF">
            <w:pPr>
              <w:spacing w:after="0" w:line="240" w:lineRule="auto"/>
              <w:jc w:val="right"/>
              <w:rPr>
                <w:rFonts w:ascii="Arial" w:eastAsia="Times New Roman" w:hAnsi="Arial" w:cs="Arial"/>
                <w:sz w:val="18"/>
                <w:szCs w:val="18"/>
                <w:lang w:eastAsia="ar-SA"/>
              </w:rPr>
            </w:pPr>
            <w:r w:rsidRPr="00993561">
              <w:rPr>
                <w:rFonts w:ascii="Arial" w:eastAsia="Times New Roman" w:hAnsi="Arial" w:cs="Arial"/>
                <w:sz w:val="18"/>
                <w:szCs w:val="18"/>
                <w:rtl/>
                <w:lang w:eastAsia="ar-SA"/>
              </w:rPr>
              <w:t>10,384.6</w:t>
            </w:r>
          </w:p>
        </w:tc>
      </w:tr>
    </w:tbl>
    <w:p w:rsidR="00CD4514" w:rsidRPr="00C71425" w:rsidRDefault="00C71425" w:rsidP="00ED301B">
      <w:pPr>
        <w:tabs>
          <w:tab w:val="left" w:pos="9070"/>
        </w:tabs>
        <w:spacing w:after="0" w:line="240" w:lineRule="auto"/>
        <w:rPr>
          <w:rFonts w:ascii="Times New Roman" w:hAnsi="Times New Roman" w:cs="Times New Roman"/>
          <w:sz w:val="18"/>
          <w:szCs w:val="18"/>
        </w:rPr>
      </w:pPr>
      <w:r>
        <w:rPr>
          <w:rFonts w:ascii="Times New Roman" w:hAnsi="Times New Roman" w:cs="Times New Roman"/>
          <w:sz w:val="18"/>
          <w:szCs w:val="18"/>
        </w:rPr>
        <w:t>*</w:t>
      </w:r>
      <w:r w:rsidR="00CD4514" w:rsidRPr="00C71425">
        <w:rPr>
          <w:rFonts w:ascii="Times New Roman" w:hAnsi="Times New Roman" w:cs="Times New Roman"/>
          <w:sz w:val="18"/>
          <w:szCs w:val="18"/>
        </w:rPr>
        <w:t xml:space="preserve"> The nominal daily wage was linked to CPI to monitor t</w:t>
      </w:r>
      <w:r w:rsidR="00CC7A70">
        <w:rPr>
          <w:rFonts w:ascii="Times New Roman" w:hAnsi="Times New Roman" w:cs="Times New Roman"/>
          <w:sz w:val="18"/>
          <w:szCs w:val="18"/>
        </w:rPr>
        <w:t>he purchasing power of employed person</w:t>
      </w:r>
      <w:r w:rsidR="00CD4514" w:rsidRPr="00C71425">
        <w:rPr>
          <w:rFonts w:ascii="Times New Roman" w:hAnsi="Times New Roman" w:cs="Times New Roman"/>
          <w:sz w:val="18"/>
          <w:szCs w:val="18"/>
        </w:rPr>
        <w:t xml:space="preserve"> at constant prices (base year</w:t>
      </w:r>
      <w:r w:rsidR="00ED301B">
        <w:rPr>
          <w:rFonts w:ascii="Times New Roman" w:hAnsi="Times New Roman" w:cs="Times New Roman"/>
          <w:sz w:val="18"/>
          <w:szCs w:val="18"/>
        </w:rPr>
        <w:t xml:space="preserve"> </w:t>
      </w:r>
      <w:r w:rsidR="00CD4514" w:rsidRPr="00C71425">
        <w:rPr>
          <w:rFonts w:ascii="Times New Roman" w:hAnsi="Times New Roman" w:cs="Times New Roman"/>
          <w:sz w:val="18"/>
          <w:szCs w:val="18"/>
        </w:rPr>
        <w:t>2010).</w:t>
      </w:r>
    </w:p>
    <w:p w:rsidR="00CD4514" w:rsidRPr="00477F96" w:rsidRDefault="00C71425" w:rsidP="00477F96">
      <w:pPr>
        <w:shd w:val="clear" w:color="auto" w:fill="FFFFFF" w:themeFill="background1"/>
        <w:spacing w:after="0" w:line="240" w:lineRule="auto"/>
        <w:ind w:hanging="142"/>
        <w:jc w:val="both"/>
        <w:rPr>
          <w:rFonts w:ascii="Times New Roman" w:hAnsi="Times New Roman" w:cs="Times New Roman"/>
          <w:b/>
          <w:bCs/>
          <w:sz w:val="24"/>
          <w:szCs w:val="24"/>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w:t>
      </w:r>
      <w:proofErr w:type="spellStart"/>
      <w:r w:rsidR="00CD4514" w:rsidRPr="00477F96">
        <w:rPr>
          <w:rFonts w:ascii="Times New Roman" w:hAnsi="Times New Roman" w:cs="Times New Roman"/>
          <w:sz w:val="18"/>
          <w:szCs w:val="18"/>
          <w:rtl/>
        </w:rPr>
        <w:t>*</w:t>
      </w:r>
      <w:proofErr w:type="spellEnd"/>
      <w:r w:rsidR="00CD4514" w:rsidRPr="00477F96">
        <w:rPr>
          <w:rFonts w:ascii="Times New Roman" w:hAnsi="Times New Roman" w:cs="Times New Roman"/>
          <w:sz w:val="18"/>
          <w:szCs w:val="18"/>
        </w:rPr>
        <w:t xml:space="preserve"> Average value added per employed person = value added / number of employed doesn’t include the employees in Israel and settlements and abroad.</w:t>
      </w:r>
      <w:r w:rsidR="00CD4514" w:rsidRPr="00477F96">
        <w:rPr>
          <w:rFonts w:ascii="Times New Roman" w:hAnsi="Times New Roman" w:cs="Times New Roman"/>
          <w:b/>
          <w:bCs/>
          <w:sz w:val="24"/>
          <w:szCs w:val="24"/>
        </w:rPr>
        <w:t xml:space="preserve"> </w:t>
      </w:r>
    </w:p>
    <w:p w:rsidR="00CD4514" w:rsidRPr="00477F96" w:rsidRDefault="00CD4514" w:rsidP="00477F96">
      <w:pPr>
        <w:shd w:val="clear" w:color="auto" w:fill="FFFFFF" w:themeFill="background1"/>
        <w:spacing w:after="0" w:line="240" w:lineRule="auto"/>
        <w:ind w:hanging="142"/>
        <w:jc w:val="both"/>
        <w:rPr>
          <w:rFonts w:ascii="Times New Roman" w:hAnsi="Times New Roman" w:cs="Times New Roman"/>
          <w:b/>
          <w:bCs/>
          <w:sz w:val="24"/>
          <w:szCs w:val="24"/>
        </w:rPr>
      </w:pPr>
    </w:p>
    <w:p w:rsidR="00CD4514" w:rsidRPr="00ED301B" w:rsidRDefault="00ED301B" w:rsidP="00477F96">
      <w:pPr>
        <w:shd w:val="clear" w:color="auto" w:fill="FFFFFF" w:themeFill="background1"/>
        <w:tabs>
          <w:tab w:val="left" w:pos="1077"/>
        </w:tabs>
        <w:spacing w:after="0" w:line="240" w:lineRule="auto"/>
        <w:jc w:val="both"/>
        <w:rPr>
          <w:rFonts w:ascii="Times New Roman" w:hAnsi="Times New Roman" w:cs="Times New Roman"/>
          <w:b/>
          <w:bCs/>
          <w:sz w:val="24"/>
          <w:szCs w:val="24"/>
        </w:rPr>
      </w:pPr>
      <w:r w:rsidRPr="00ED301B">
        <w:rPr>
          <w:rFonts w:ascii="Times New Roman" w:hAnsi="Times New Roman" w:cs="Times New Roman"/>
          <w:b/>
          <w:bCs/>
          <w:sz w:val="24"/>
          <w:szCs w:val="24"/>
        </w:rPr>
        <w:t xml:space="preserve">1.2.1 </w:t>
      </w:r>
      <w:proofErr w:type="spellStart"/>
      <w:r w:rsidR="00CD4514" w:rsidRPr="00ED301B">
        <w:rPr>
          <w:rFonts w:ascii="Times New Roman" w:hAnsi="Times New Roman" w:cs="Times New Roman"/>
          <w:b/>
          <w:bCs/>
          <w:sz w:val="24"/>
          <w:szCs w:val="24"/>
        </w:rPr>
        <w:t>Labor</w:t>
      </w:r>
      <w:proofErr w:type="spellEnd"/>
      <w:r w:rsidR="00CD4514" w:rsidRPr="00ED301B">
        <w:rPr>
          <w:rFonts w:ascii="Times New Roman" w:hAnsi="Times New Roman" w:cs="Times New Roman"/>
          <w:b/>
          <w:bCs/>
          <w:sz w:val="24"/>
          <w:szCs w:val="24"/>
        </w:rPr>
        <w:t xml:space="preserve"> Force Size</w:t>
      </w:r>
    </w:p>
    <w:p w:rsidR="00CD4514" w:rsidRPr="00477F96" w:rsidRDefault="00CD4514" w:rsidP="00ED301B">
      <w:pPr>
        <w:shd w:val="clear" w:color="auto" w:fill="FFFFFF" w:themeFill="background1"/>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 xml:space="preserve">The size of </w:t>
      </w:r>
      <w:proofErr w:type="spellStart"/>
      <w:r w:rsidRPr="00477F96">
        <w:rPr>
          <w:rFonts w:ascii="Times New Roman" w:hAnsi="Times New Roman" w:cs="Times New Roman"/>
          <w:b/>
          <w:bCs/>
          <w:sz w:val="24"/>
          <w:szCs w:val="24"/>
        </w:rPr>
        <w:t>labor</w:t>
      </w:r>
      <w:proofErr w:type="spellEnd"/>
      <w:r w:rsidRPr="00477F96">
        <w:rPr>
          <w:rFonts w:ascii="Times New Roman" w:hAnsi="Times New Roman" w:cs="Times New Roman"/>
          <w:b/>
          <w:bCs/>
          <w:sz w:val="24"/>
          <w:szCs w:val="24"/>
        </w:rPr>
        <w:t xml:space="preserve"> force increased by 2.7% in 2018 compared to 2017, reaching </w:t>
      </w:r>
      <w:r w:rsidRPr="00477F96">
        <w:rPr>
          <w:rFonts w:ascii="Times New Roman" w:hAnsi="Times New Roman" w:cs="Times New Roman"/>
          <w:b/>
          <w:bCs/>
        </w:rPr>
        <w:t xml:space="preserve">1,340.1 </w:t>
      </w:r>
      <w:r w:rsidRPr="00477F96">
        <w:rPr>
          <w:rFonts w:ascii="Times New Roman" w:hAnsi="Times New Roman" w:cs="Times New Roman"/>
          <w:b/>
          <w:bCs/>
          <w:sz w:val="24"/>
          <w:szCs w:val="24"/>
        </w:rPr>
        <w:t xml:space="preserve">thousand employed persons, and the </w:t>
      </w:r>
      <w:proofErr w:type="spellStart"/>
      <w:r w:rsidRPr="00477F96">
        <w:rPr>
          <w:rFonts w:ascii="Times New Roman" w:hAnsi="Times New Roman" w:cs="Times New Roman"/>
          <w:b/>
          <w:bCs/>
          <w:sz w:val="24"/>
          <w:szCs w:val="24"/>
        </w:rPr>
        <w:t>labor</w:t>
      </w:r>
      <w:proofErr w:type="spellEnd"/>
      <w:r w:rsidRPr="00477F96">
        <w:rPr>
          <w:rFonts w:ascii="Times New Roman" w:hAnsi="Times New Roman" w:cs="Times New Roman"/>
          <w:b/>
          <w:bCs/>
          <w:sz w:val="24"/>
          <w:szCs w:val="24"/>
        </w:rPr>
        <w:t xml:space="preserve"> force participation rate increased to 47.2% compared to 46.4%.</w:t>
      </w:r>
      <w:r w:rsidRPr="00477F96">
        <w:rPr>
          <w:rFonts w:ascii="Times New Roman" w:hAnsi="Times New Roman" w:cs="Times New Roman"/>
          <w:sz w:val="24"/>
          <w:szCs w:val="24"/>
        </w:rPr>
        <w:t xml:space="preserve">  The </w:t>
      </w: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force participation rate varied between the West Bank and Gaza Strip, it was 47.4% in the West Bank in 2018, compared to 46.9% in Gaza Strip.  Those figures show some improvement in the West Bank and Gaza Strip. This is due to the fact that the increasing rate in size of the </w:t>
      </w: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force in West Bank and Gaza Strip during 2018 was higher than the increasing rate in the total manpower.  </w:t>
      </w:r>
    </w:p>
    <w:p w:rsidR="00CD4514" w:rsidRPr="00477F96" w:rsidRDefault="00CD4514" w:rsidP="00ED301B">
      <w:pPr>
        <w:shd w:val="clear" w:color="auto" w:fill="FFFFFF" w:themeFill="background1"/>
        <w:tabs>
          <w:tab w:val="left" w:pos="1077"/>
        </w:tabs>
        <w:spacing w:after="0" w:line="240" w:lineRule="auto"/>
        <w:jc w:val="both"/>
        <w:rPr>
          <w:rFonts w:ascii="Times New Roman" w:hAnsi="Times New Roman" w:cs="Times New Roman"/>
          <w:b/>
          <w:bCs/>
          <w:sz w:val="28"/>
          <w:szCs w:val="28"/>
          <w:rtl/>
          <w:lang w:val="en-US"/>
        </w:rPr>
      </w:pPr>
    </w:p>
    <w:p w:rsidR="00CD4514" w:rsidRDefault="00CD4514" w:rsidP="00ED301B">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lastRenderedPageBreak/>
        <w:t xml:space="preserve">Despite the increase of the size of the </w:t>
      </w:r>
      <w:proofErr w:type="spellStart"/>
      <w:r w:rsidRPr="00477F96">
        <w:rPr>
          <w:rFonts w:ascii="Times New Roman" w:hAnsi="Times New Roman" w:cs="Times New Roman"/>
          <w:b/>
          <w:bCs/>
          <w:sz w:val="24"/>
          <w:szCs w:val="24"/>
        </w:rPr>
        <w:t>labor</w:t>
      </w:r>
      <w:proofErr w:type="spellEnd"/>
      <w:r w:rsidRPr="00477F96">
        <w:rPr>
          <w:rFonts w:ascii="Times New Roman" w:hAnsi="Times New Roman" w:cs="Times New Roman"/>
          <w:b/>
          <w:bCs/>
          <w:sz w:val="24"/>
          <w:szCs w:val="24"/>
        </w:rPr>
        <w:t xml:space="preserve"> force in Palestine during 2018 by 2.7% compared to 2017, the number of employed persons decreased by 1.2%,</w:t>
      </w:r>
      <w:r w:rsidRPr="00477F96">
        <w:rPr>
          <w:rFonts w:ascii="Times New Roman" w:hAnsi="Times New Roman" w:cs="Times New Roman"/>
          <w:sz w:val="24"/>
          <w:szCs w:val="24"/>
        </w:rPr>
        <w:t xml:space="preserve"> where the number of employed persons in Palestine reached 918.8 thousand employed persons during the year 2018, compared to 929.8 thousand employed persons in 2017, the increase in the number of unemployed persons was greater than the increase in the size of the </w:t>
      </w: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force, which led to a rise in the unemployment rate to 31.4% in the same year.</w:t>
      </w:r>
    </w:p>
    <w:p w:rsidR="00ED301B" w:rsidRPr="00477F96" w:rsidRDefault="00ED301B" w:rsidP="00ED301B">
      <w:pPr>
        <w:spacing w:after="0" w:line="240" w:lineRule="auto"/>
        <w:jc w:val="both"/>
        <w:rPr>
          <w:rFonts w:ascii="Times New Roman" w:hAnsi="Times New Roman" w:cs="Times New Roman"/>
          <w:sz w:val="24"/>
          <w:szCs w:val="24"/>
          <w:rtl/>
        </w:rPr>
      </w:pPr>
    </w:p>
    <w:p w:rsidR="00CD4514" w:rsidRPr="00ED301B" w:rsidRDefault="00ED301B" w:rsidP="00ED301B">
      <w:pPr>
        <w:shd w:val="clear" w:color="auto" w:fill="FFFFFF" w:themeFill="background1"/>
        <w:tabs>
          <w:tab w:val="left" w:pos="1077"/>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1.2.2 </w:t>
      </w:r>
      <w:r w:rsidR="00CD4514" w:rsidRPr="00ED301B">
        <w:rPr>
          <w:rFonts w:ascii="Times New Roman" w:hAnsi="Times New Roman" w:cs="Times New Roman"/>
          <w:b/>
          <w:bCs/>
          <w:sz w:val="24"/>
          <w:szCs w:val="24"/>
        </w:rPr>
        <w:t>Unemployment Rate</w:t>
      </w:r>
    </w:p>
    <w:p w:rsidR="00CD4514" w:rsidRPr="00477F96" w:rsidRDefault="00CD4514" w:rsidP="00ED301B">
      <w:pPr>
        <w:shd w:val="clear" w:color="auto" w:fill="FFFFFF" w:themeFill="background1"/>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 xml:space="preserve">In Gaza Strip the size of the </w:t>
      </w:r>
      <w:proofErr w:type="spellStart"/>
      <w:r w:rsidRPr="00477F96">
        <w:rPr>
          <w:rFonts w:ascii="Times New Roman" w:hAnsi="Times New Roman" w:cs="Times New Roman"/>
          <w:b/>
          <w:bCs/>
          <w:sz w:val="24"/>
          <w:szCs w:val="24"/>
        </w:rPr>
        <w:t>labor</w:t>
      </w:r>
      <w:proofErr w:type="spellEnd"/>
      <w:r w:rsidRPr="00477F96">
        <w:rPr>
          <w:rFonts w:ascii="Times New Roman" w:hAnsi="Times New Roman" w:cs="Times New Roman"/>
          <w:b/>
          <w:bCs/>
          <w:sz w:val="24"/>
          <w:szCs w:val="24"/>
        </w:rPr>
        <w:t xml:space="preserve"> force increased </w:t>
      </w:r>
      <w:r w:rsidRPr="00477F96">
        <w:rPr>
          <w:rFonts w:ascii="Times New Roman" w:hAnsi="Times New Roman" w:cs="Times New Roman"/>
          <w:b/>
          <w:bCs/>
          <w:sz w:val="24"/>
          <w:szCs w:val="24"/>
          <w:lang w:val="en-US"/>
        </w:rPr>
        <w:t xml:space="preserve">by 5.5% </w:t>
      </w:r>
      <w:r w:rsidRPr="00477F96">
        <w:rPr>
          <w:rFonts w:ascii="Times New Roman" w:hAnsi="Times New Roman" w:cs="Times New Roman"/>
          <w:b/>
          <w:bCs/>
          <w:sz w:val="24"/>
          <w:szCs w:val="24"/>
        </w:rPr>
        <w:t xml:space="preserve">compared to 2017, but the number of employed persons decreased by 8.9%, </w:t>
      </w:r>
      <w:r w:rsidRPr="00477F96">
        <w:rPr>
          <w:rFonts w:ascii="Times New Roman" w:hAnsi="Times New Roman" w:cs="Times New Roman"/>
          <w:sz w:val="24"/>
          <w:szCs w:val="24"/>
        </w:rPr>
        <w:t xml:space="preserve">since the increase in the number of unemployed persons was more than the rise of size of the </w:t>
      </w: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force, this led to increasing the unemployment rate to 52.0% during 2018 compared to 44.4% in 2017.  Whereas in the West Bank the increase in the number of employed persons was more than the rise of size of the </w:t>
      </w: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force, this led to decreasing the unemployment rate to 18.0% during 2018</w:t>
      </w:r>
      <w:r w:rsidRPr="00477F96">
        <w:rPr>
          <w:rFonts w:ascii="Times New Roman" w:hAnsi="Times New Roman" w:cs="Times New Roman"/>
          <w:sz w:val="24"/>
          <w:szCs w:val="24"/>
          <w:lang w:val="en-US"/>
        </w:rPr>
        <w:t xml:space="preserve"> compared to 19% in 2017</w:t>
      </w:r>
      <w:r w:rsidRPr="00477F96">
        <w:rPr>
          <w:rFonts w:ascii="Times New Roman" w:hAnsi="Times New Roman" w:cs="Times New Roman"/>
          <w:sz w:val="24"/>
          <w:szCs w:val="24"/>
        </w:rPr>
        <w:t>.</w:t>
      </w:r>
    </w:p>
    <w:p w:rsidR="00CD4514" w:rsidRPr="00477F96" w:rsidRDefault="00CD4514" w:rsidP="00477F96">
      <w:pPr>
        <w:shd w:val="clear" w:color="auto" w:fill="FFFFFF" w:themeFill="background1"/>
        <w:spacing w:after="0" w:line="240" w:lineRule="auto"/>
        <w:jc w:val="both"/>
        <w:rPr>
          <w:rFonts w:ascii="Times New Roman" w:hAnsi="Times New Roman" w:cs="Times New Roman"/>
          <w:sz w:val="24"/>
          <w:szCs w:val="24"/>
          <w:rtl/>
        </w:rPr>
      </w:pPr>
    </w:p>
    <w:p w:rsidR="00CD4514" w:rsidRPr="00ED301B" w:rsidRDefault="00CD4514" w:rsidP="00477F96">
      <w:pPr>
        <w:pStyle w:val="xl69"/>
        <w:spacing w:before="0" w:beforeAutospacing="0" w:after="0" w:afterAutospacing="0"/>
        <w:textAlignment w:val="top"/>
        <w:rPr>
          <w:rFonts w:ascii="Arial" w:hAnsi="Arial" w:cs="Arial" w:hint="default"/>
        </w:rPr>
      </w:pPr>
      <w:r w:rsidRPr="00ED301B">
        <w:rPr>
          <w:rFonts w:ascii="Arial" w:eastAsia="Calibri" w:hAnsi="Arial" w:cs="Arial" w:hint="default"/>
        </w:rPr>
        <w:t>Unemployment rate by region,</w:t>
      </w:r>
      <w:r w:rsidRPr="00ED301B">
        <w:rPr>
          <w:rFonts w:ascii="Arial" w:hAnsi="Arial" w:cs="Arial" w:hint="default"/>
        </w:rPr>
        <w:t xml:space="preserve"> 2013-2018</w:t>
      </w:r>
    </w:p>
    <w:tbl>
      <w:tblPr>
        <w:tblStyle w:val="TableGrid"/>
        <w:tblW w:w="0" w:type="auto"/>
        <w:jc w:val="center"/>
        <w:tblLayout w:type="fixed"/>
        <w:tblLook w:val="04A0"/>
      </w:tblPr>
      <w:tblGrid>
        <w:gridCol w:w="8788"/>
      </w:tblGrid>
      <w:tr w:rsidR="00CD4514" w:rsidRPr="00477F96" w:rsidTr="00A77491">
        <w:trPr>
          <w:jc w:val="center"/>
        </w:trPr>
        <w:tc>
          <w:tcPr>
            <w:tcW w:w="8788" w:type="dxa"/>
          </w:tcPr>
          <w:p w:rsidR="00CD4514" w:rsidRPr="00477F96" w:rsidRDefault="00CD4514" w:rsidP="00477F96">
            <w:pPr>
              <w:pStyle w:val="xl69"/>
              <w:spacing w:before="0" w:beforeAutospacing="0" w:after="0" w:afterAutospacing="0"/>
              <w:textAlignment w:val="top"/>
              <w:rPr>
                <w:rFonts w:cs="Times New Roman" w:hint="default"/>
              </w:rPr>
            </w:pPr>
            <w:r w:rsidRPr="00477F96">
              <w:rPr>
                <w:rFonts w:cs="Times New Roman" w:hint="default"/>
                <w:noProof/>
              </w:rPr>
              <w:drawing>
                <wp:inline distT="0" distB="0" distL="0" distR="0">
                  <wp:extent cx="5383364" cy="2605908"/>
                  <wp:effectExtent l="19050" t="0" r="7786" b="0"/>
                  <wp:docPr id="1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CD4514" w:rsidRPr="00477F96" w:rsidRDefault="00CD4514" w:rsidP="00477F96">
      <w:pPr>
        <w:pStyle w:val="xl69"/>
        <w:spacing w:before="0" w:beforeAutospacing="0" w:after="0" w:afterAutospacing="0"/>
        <w:textAlignment w:val="top"/>
        <w:rPr>
          <w:rFonts w:cs="Times New Roman" w:hint="default"/>
        </w:rPr>
      </w:pPr>
    </w:p>
    <w:p w:rsidR="00CD4514" w:rsidRPr="00ED301B" w:rsidRDefault="00ED301B" w:rsidP="00477F9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1.2.3 </w:t>
      </w:r>
      <w:r w:rsidR="00CD4514" w:rsidRPr="00ED301B">
        <w:rPr>
          <w:rFonts w:ascii="Times New Roman" w:hAnsi="Times New Roman" w:cs="Times New Roman"/>
          <w:b/>
          <w:bCs/>
          <w:sz w:val="24"/>
          <w:szCs w:val="24"/>
        </w:rPr>
        <w:t>Number of Employed Persons by Economic Activity</w:t>
      </w:r>
    </w:p>
    <w:p w:rsidR="00CD4514" w:rsidRPr="00477F96" w:rsidRDefault="00CD4514" w:rsidP="00B86869">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Economic activities witnessed a decrease in the number of employed persons in Palestine in 2018, except for information and communications activities</w:t>
      </w:r>
      <w:r w:rsidRPr="00477F96">
        <w:rPr>
          <w:rFonts w:ascii="Times New Roman" w:hAnsi="Times New Roman" w:cs="Times New Roman"/>
          <w:sz w:val="24"/>
          <w:szCs w:val="24"/>
        </w:rPr>
        <w:t>.  Transportation and storage activities recorded the highest decrease in the number of employed persons, where it decreased by 10.3%, followed by agriculture activities 5.0%, then industry 3.7%, and construction 2.9%, wholesale and retail trade 1.1%, services and other</w:t>
      </w:r>
      <w:r w:rsidRPr="00477F96">
        <w:rPr>
          <w:rStyle w:val="FootnoteReference"/>
          <w:rFonts w:ascii="Times New Roman" w:hAnsi="Times New Roman" w:cs="Times New Roman"/>
          <w:sz w:val="24"/>
          <w:szCs w:val="24"/>
        </w:rPr>
        <w:footnoteReference w:id="3"/>
      </w:r>
      <w:r w:rsidRPr="00477F96">
        <w:rPr>
          <w:rFonts w:ascii="Times New Roman" w:hAnsi="Times New Roman" w:cs="Times New Roman"/>
          <w:sz w:val="24"/>
          <w:szCs w:val="24"/>
        </w:rPr>
        <w:t xml:space="preserve"> branches activities 0.7%.</w:t>
      </w:r>
      <w:r w:rsidR="00B86869">
        <w:rPr>
          <w:rFonts w:ascii="Times New Roman" w:hAnsi="Times New Roman" w:cs="Times New Roman"/>
          <w:sz w:val="24"/>
          <w:szCs w:val="24"/>
        </w:rPr>
        <w:t xml:space="preserve">  </w:t>
      </w:r>
      <w:r w:rsidRPr="00477F96">
        <w:rPr>
          <w:rFonts w:ascii="Times New Roman" w:hAnsi="Times New Roman" w:cs="Times New Roman"/>
          <w:sz w:val="24"/>
          <w:szCs w:val="24"/>
        </w:rPr>
        <w:t>On the other hand, the number of employed persons in information and communications activities increased by 2.0%.</w:t>
      </w: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change rate</w:t>
      </w:r>
      <w:r w:rsidR="00737F71">
        <w:rPr>
          <w:rFonts w:ascii="Times New Roman" w:hAnsi="Times New Roman" w:cs="Times New Roman"/>
          <w:b/>
          <w:bCs/>
          <w:sz w:val="24"/>
          <w:szCs w:val="24"/>
        </w:rPr>
        <w:t>s</w:t>
      </w:r>
      <w:r w:rsidRPr="00477F96">
        <w:rPr>
          <w:rFonts w:ascii="Times New Roman" w:hAnsi="Times New Roman" w:cs="Times New Roman"/>
          <w:b/>
          <w:bCs/>
          <w:sz w:val="24"/>
          <w:szCs w:val="24"/>
        </w:rPr>
        <w:t xml:space="preserve"> in the number of employed persons in economic activities differed between the West Bank and Gaza Strip during the year 2018 compared to 2017</w:t>
      </w:r>
      <w:r w:rsidRPr="00477F96">
        <w:rPr>
          <w:rFonts w:ascii="Times New Roman" w:hAnsi="Times New Roman" w:cs="Times New Roman"/>
          <w:sz w:val="24"/>
          <w:szCs w:val="24"/>
        </w:rPr>
        <w:t>.  In the West Bank, the economic activities recorded an increase in the number of employed persons except for the transportation and storage, agriculture, industry activities.  In the West Bank the information and communications activities recorded the highest increase with 8.8% in the number of employed persons, followed by con</w:t>
      </w:r>
      <w:r w:rsidR="005D705A">
        <w:rPr>
          <w:rFonts w:ascii="Times New Roman" w:hAnsi="Times New Roman" w:cs="Times New Roman"/>
          <w:sz w:val="24"/>
          <w:szCs w:val="24"/>
        </w:rPr>
        <w:t xml:space="preserve">struction activities with 6.8%.  </w:t>
      </w:r>
      <w:r w:rsidRPr="00477F96">
        <w:rPr>
          <w:rFonts w:ascii="Times New Roman" w:hAnsi="Times New Roman" w:cs="Times New Roman"/>
          <w:sz w:val="24"/>
          <w:szCs w:val="24"/>
        </w:rPr>
        <w:t xml:space="preserve">Conversely, the transportation and storage activities recorded a decrease by 12.7%, agriculture activities 5.9%, </w:t>
      </w:r>
      <w:r w:rsidRPr="00477F96">
        <w:rPr>
          <w:rFonts w:ascii="Times New Roman" w:hAnsi="Times New Roman" w:cs="Times New Roman"/>
          <w:sz w:val="24"/>
          <w:szCs w:val="24"/>
        </w:rPr>
        <w:lastRenderedPageBreak/>
        <w:t xml:space="preserve">and industry activities 2.3%.  Whereas in Gaza Strip </w:t>
      </w:r>
      <w:r w:rsidRPr="00477F96">
        <w:rPr>
          <w:rFonts w:ascii="Times New Roman" w:hAnsi="Times New Roman" w:cs="Times New Roman"/>
          <w:sz w:val="24"/>
          <w:szCs w:val="24"/>
          <w:lang w:val="en-US"/>
        </w:rPr>
        <w:t xml:space="preserve">all of </w:t>
      </w:r>
      <w:r w:rsidRPr="00477F96">
        <w:rPr>
          <w:rFonts w:ascii="Times New Roman" w:hAnsi="Times New Roman" w:cs="Times New Roman"/>
          <w:sz w:val="24"/>
          <w:szCs w:val="24"/>
        </w:rPr>
        <w:t>the economic activities recorded a decrease in the number of employed persons, the construction recorded the highest decrease by 45.1% followed by information and communications activities 12.1% then industry activities 11.1%, and services and other branches activities 6.8%.</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 xml:space="preserve"> (See table 4).  </w:t>
      </w:r>
    </w:p>
    <w:p w:rsidR="00CD4514" w:rsidRPr="00477F96" w:rsidRDefault="00CD4514" w:rsidP="00477F96">
      <w:pPr>
        <w:spacing w:after="0" w:line="240" w:lineRule="auto"/>
        <w:jc w:val="both"/>
        <w:rPr>
          <w:rFonts w:ascii="Times New Roman" w:hAnsi="Times New Roman" w:cs="Times New Roman"/>
          <w:sz w:val="24"/>
          <w:szCs w:val="24"/>
        </w:rPr>
      </w:pPr>
    </w:p>
    <w:p w:rsidR="00CD4514" w:rsidRDefault="00CD4514" w:rsidP="00477F96">
      <w:pPr>
        <w:spacing w:after="0" w:line="240" w:lineRule="auto"/>
        <w:jc w:val="center"/>
        <w:rPr>
          <w:rFonts w:ascii="Arial" w:hAnsi="Arial" w:cs="Arial"/>
          <w:b/>
          <w:bCs/>
          <w:lang w:eastAsia="ar-SA"/>
        </w:rPr>
      </w:pPr>
      <w:r w:rsidRPr="00ED301B">
        <w:rPr>
          <w:rFonts w:ascii="Arial" w:hAnsi="Arial" w:cs="Arial"/>
          <w:b/>
          <w:bCs/>
        </w:rPr>
        <w:t xml:space="preserve">Table 4: </w:t>
      </w:r>
      <w:r w:rsidRPr="00ED301B">
        <w:rPr>
          <w:rFonts w:ascii="Arial" w:hAnsi="Arial" w:cs="Arial"/>
          <w:b/>
          <w:bCs/>
          <w:lang w:eastAsia="ar-SA"/>
        </w:rPr>
        <w:t>Number of employed persons* by econ</w:t>
      </w:r>
      <w:r w:rsidR="00EF105D">
        <w:rPr>
          <w:rFonts w:ascii="Arial" w:hAnsi="Arial" w:cs="Arial"/>
          <w:b/>
          <w:bCs/>
          <w:lang w:eastAsia="ar-SA"/>
        </w:rPr>
        <w:t>omic activity and region, 2013-</w:t>
      </w:r>
      <w:r w:rsidRPr="00ED301B">
        <w:rPr>
          <w:rFonts w:ascii="Arial" w:hAnsi="Arial" w:cs="Arial"/>
          <w:b/>
          <w:bCs/>
          <w:lang w:eastAsia="ar-SA"/>
        </w:rPr>
        <w:t>2018</w:t>
      </w:r>
    </w:p>
    <w:p w:rsidR="00ED301B" w:rsidRPr="00ED301B" w:rsidRDefault="00ED301B" w:rsidP="00477F96">
      <w:pPr>
        <w:spacing w:after="0" w:line="240" w:lineRule="auto"/>
        <w:jc w:val="center"/>
        <w:rPr>
          <w:rFonts w:ascii="Arial" w:hAnsi="Arial" w:cs="Arial"/>
          <w:b/>
          <w:bCs/>
          <w:sz w:val="12"/>
          <w:szCs w:val="12"/>
          <w:lang w:eastAsia="ar-S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1"/>
        <w:gridCol w:w="1033"/>
        <w:gridCol w:w="1034"/>
        <w:gridCol w:w="1034"/>
        <w:gridCol w:w="1032"/>
        <w:gridCol w:w="1034"/>
        <w:gridCol w:w="1034"/>
      </w:tblGrid>
      <w:tr w:rsidR="00CD4514" w:rsidRPr="008A63DE" w:rsidTr="00C16ED4">
        <w:trPr>
          <w:trHeight w:val="340"/>
          <w:jc w:val="center"/>
        </w:trPr>
        <w:tc>
          <w:tcPr>
            <w:tcW w:w="1582" w:type="pct"/>
            <w:tcBorders>
              <w:top w:val="single" w:sz="12" w:space="0" w:color="auto"/>
              <w:left w:val="nil"/>
              <w:bottom w:val="single" w:sz="12" w:space="0" w:color="auto"/>
              <w:right w:val="nil"/>
            </w:tcBorders>
            <w:vAlign w:val="center"/>
          </w:tcPr>
          <w:p w:rsidR="00CD4514" w:rsidRPr="006045BF" w:rsidRDefault="00CD4514" w:rsidP="00477F96">
            <w:pPr>
              <w:pStyle w:val="Footer"/>
              <w:tabs>
                <w:tab w:val="clear" w:pos="4153"/>
                <w:tab w:val="clear" w:pos="8306"/>
              </w:tabs>
              <w:jc w:val="center"/>
              <w:rPr>
                <w:rFonts w:ascii="Arial" w:hAnsi="Arial" w:cs="Arial"/>
                <w:b/>
                <w:bCs/>
                <w:sz w:val="18"/>
                <w:szCs w:val="18"/>
              </w:rPr>
            </w:pPr>
            <w:r w:rsidRPr="006045BF">
              <w:rPr>
                <w:rFonts w:ascii="Arial" w:hAnsi="Arial" w:cs="Arial"/>
                <w:b/>
                <w:bCs/>
                <w:sz w:val="18"/>
                <w:szCs w:val="18"/>
              </w:rPr>
              <w:t>Economic Activity</w:t>
            </w:r>
          </w:p>
        </w:tc>
        <w:tc>
          <w:tcPr>
            <w:tcW w:w="569" w:type="pct"/>
            <w:tcBorders>
              <w:top w:val="single" w:sz="12" w:space="0" w:color="auto"/>
              <w:left w:val="nil"/>
              <w:bottom w:val="single" w:sz="12" w:space="0" w:color="auto"/>
              <w:right w:val="nil"/>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2013</w:t>
            </w:r>
          </w:p>
        </w:tc>
        <w:tc>
          <w:tcPr>
            <w:tcW w:w="570" w:type="pct"/>
            <w:tcBorders>
              <w:top w:val="single" w:sz="12" w:space="0" w:color="auto"/>
              <w:left w:val="nil"/>
              <w:bottom w:val="single" w:sz="12" w:space="0" w:color="auto"/>
              <w:right w:val="nil"/>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2014</w:t>
            </w:r>
          </w:p>
        </w:tc>
        <w:tc>
          <w:tcPr>
            <w:tcW w:w="570" w:type="pct"/>
            <w:tcBorders>
              <w:top w:val="single" w:sz="12" w:space="0" w:color="auto"/>
              <w:left w:val="nil"/>
              <w:bottom w:val="single" w:sz="12" w:space="0" w:color="auto"/>
              <w:right w:val="nil"/>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2015</w:t>
            </w:r>
          </w:p>
        </w:tc>
        <w:tc>
          <w:tcPr>
            <w:tcW w:w="569" w:type="pct"/>
            <w:tcBorders>
              <w:top w:val="single" w:sz="12" w:space="0" w:color="auto"/>
              <w:left w:val="nil"/>
              <w:bottom w:val="single" w:sz="12" w:space="0" w:color="auto"/>
              <w:right w:val="nil"/>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2016</w:t>
            </w:r>
          </w:p>
        </w:tc>
        <w:tc>
          <w:tcPr>
            <w:tcW w:w="570" w:type="pct"/>
            <w:tcBorders>
              <w:top w:val="single" w:sz="12" w:space="0" w:color="auto"/>
              <w:left w:val="nil"/>
              <w:bottom w:val="single" w:sz="12" w:space="0" w:color="auto"/>
              <w:right w:val="nil"/>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2017</w:t>
            </w:r>
          </w:p>
        </w:tc>
        <w:tc>
          <w:tcPr>
            <w:tcW w:w="570" w:type="pct"/>
            <w:tcBorders>
              <w:top w:val="single" w:sz="12" w:space="0" w:color="auto"/>
              <w:left w:val="nil"/>
              <w:bottom w:val="single" w:sz="12" w:space="0" w:color="auto"/>
              <w:right w:val="nil"/>
            </w:tcBorders>
            <w:vAlign w:val="center"/>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2018</w:t>
            </w:r>
          </w:p>
        </w:tc>
      </w:tr>
      <w:tr w:rsidR="00CD4514" w:rsidRPr="008A63DE" w:rsidTr="00ED301B">
        <w:trPr>
          <w:trHeight w:val="340"/>
          <w:jc w:val="center"/>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Palestine</w:t>
            </w:r>
          </w:p>
        </w:tc>
      </w:tr>
      <w:tr w:rsidR="00CD4514" w:rsidRPr="008A63DE" w:rsidTr="00C16ED4">
        <w:trPr>
          <w:trHeight w:val="340"/>
          <w:jc w:val="center"/>
        </w:trPr>
        <w:tc>
          <w:tcPr>
            <w:tcW w:w="1582" w:type="pct"/>
            <w:tcBorders>
              <w:top w:val="single" w:sz="12" w:space="0" w:color="auto"/>
              <w:left w:val="nil"/>
              <w:bottom w:val="nil"/>
              <w:right w:val="nil"/>
            </w:tcBorders>
            <w:vAlign w:val="center"/>
          </w:tcPr>
          <w:p w:rsidR="00CD4514" w:rsidRPr="006045BF" w:rsidRDefault="00CD4514" w:rsidP="00477F96">
            <w:pPr>
              <w:pStyle w:val="Footer"/>
              <w:tabs>
                <w:tab w:val="clear" w:pos="4153"/>
                <w:tab w:val="clear" w:pos="8306"/>
              </w:tabs>
              <w:rPr>
                <w:rFonts w:ascii="Arial" w:hAnsi="Arial" w:cs="Arial"/>
                <w:sz w:val="18"/>
                <w:szCs w:val="18"/>
              </w:rPr>
            </w:pPr>
            <w:r w:rsidRPr="006045BF">
              <w:rPr>
                <w:rFonts w:ascii="Arial" w:hAnsi="Arial" w:cs="Arial"/>
                <w:sz w:val="18"/>
                <w:szCs w:val="18"/>
              </w:rPr>
              <w:t>Agriculture</w:t>
            </w:r>
          </w:p>
        </w:tc>
        <w:tc>
          <w:tcPr>
            <w:tcW w:w="569" w:type="pct"/>
            <w:tcBorders>
              <w:top w:val="single" w:sz="12" w:space="0" w:color="auto"/>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82,700</w:t>
            </w:r>
          </w:p>
        </w:tc>
        <w:tc>
          <w:tcPr>
            <w:tcW w:w="570" w:type="pct"/>
            <w:tcBorders>
              <w:top w:val="single" w:sz="12" w:space="0" w:color="auto"/>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83,500</w:t>
            </w:r>
          </w:p>
        </w:tc>
        <w:tc>
          <w:tcPr>
            <w:tcW w:w="570" w:type="pct"/>
            <w:tcBorders>
              <w:top w:val="single" w:sz="12" w:space="0" w:color="auto"/>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70,700</w:t>
            </w:r>
          </w:p>
        </w:tc>
        <w:tc>
          <w:tcPr>
            <w:tcW w:w="569" w:type="pct"/>
            <w:tcBorders>
              <w:top w:val="single" w:sz="12" w:space="0" w:color="auto"/>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59,900</w:t>
            </w:r>
          </w:p>
        </w:tc>
        <w:tc>
          <w:tcPr>
            <w:tcW w:w="570" w:type="pct"/>
            <w:tcBorders>
              <w:top w:val="single" w:sz="12" w:space="0" w:color="auto"/>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54,200</w:t>
            </w:r>
          </w:p>
        </w:tc>
        <w:tc>
          <w:tcPr>
            <w:tcW w:w="570" w:type="pct"/>
            <w:tcBorders>
              <w:top w:val="single" w:sz="12" w:space="0" w:color="auto"/>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51,500</w:t>
            </w:r>
          </w:p>
        </w:tc>
      </w:tr>
      <w:tr w:rsidR="00CD4514" w:rsidRPr="008A63DE" w:rsidTr="00C16ED4">
        <w:trPr>
          <w:trHeight w:val="340"/>
          <w:jc w:val="center"/>
        </w:trPr>
        <w:tc>
          <w:tcPr>
            <w:tcW w:w="1582" w:type="pct"/>
            <w:tcBorders>
              <w:top w:val="nil"/>
              <w:left w:val="nil"/>
              <w:bottom w:val="nil"/>
              <w:right w:val="nil"/>
            </w:tcBorders>
            <w:vAlign w:val="center"/>
          </w:tcPr>
          <w:p w:rsidR="00CD4514" w:rsidRPr="006045BF" w:rsidRDefault="00CD4514" w:rsidP="00477F96">
            <w:pPr>
              <w:pStyle w:val="Footer"/>
              <w:tabs>
                <w:tab w:val="clear" w:pos="4153"/>
                <w:tab w:val="clear" w:pos="8306"/>
              </w:tabs>
              <w:rPr>
                <w:rFonts w:ascii="Arial" w:hAnsi="Arial" w:cs="Arial"/>
                <w:sz w:val="18"/>
                <w:szCs w:val="18"/>
              </w:rPr>
            </w:pPr>
            <w:r w:rsidRPr="006045BF">
              <w:rPr>
                <w:rFonts w:ascii="Arial" w:hAnsi="Arial" w:cs="Arial"/>
                <w:sz w:val="18"/>
                <w:szCs w:val="18"/>
              </w:rPr>
              <w:t>Industry</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92,800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98,500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105,100</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109,700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107,500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103,500</w:t>
            </w:r>
          </w:p>
        </w:tc>
      </w:tr>
      <w:tr w:rsidR="00CD4514" w:rsidRPr="008A63DE" w:rsidTr="00C16ED4">
        <w:trPr>
          <w:trHeight w:val="340"/>
          <w:jc w:val="center"/>
        </w:trPr>
        <w:tc>
          <w:tcPr>
            <w:tcW w:w="1582" w:type="pct"/>
            <w:tcBorders>
              <w:top w:val="nil"/>
              <w:left w:val="nil"/>
              <w:bottom w:val="nil"/>
              <w:right w:val="nil"/>
            </w:tcBorders>
            <w:vAlign w:val="center"/>
          </w:tcPr>
          <w:p w:rsidR="00CD4514" w:rsidRPr="006045BF" w:rsidRDefault="00CD4514" w:rsidP="00477F96">
            <w:pPr>
              <w:pStyle w:val="Footer"/>
              <w:tabs>
                <w:tab w:val="clear" w:pos="4153"/>
                <w:tab w:val="clear" w:pos="8306"/>
              </w:tabs>
              <w:rPr>
                <w:rFonts w:ascii="Arial" w:hAnsi="Arial" w:cs="Arial"/>
                <w:sz w:val="18"/>
                <w:szCs w:val="18"/>
              </w:rPr>
            </w:pPr>
            <w:r w:rsidRPr="006045BF">
              <w:rPr>
                <w:rFonts w:ascii="Arial" w:hAnsi="Arial" w:cs="Arial"/>
                <w:sz w:val="18"/>
                <w:szCs w:val="18"/>
              </w:rPr>
              <w:t>Construction</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75,400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68,900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73,200</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82,600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86,300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83,800</w:t>
            </w:r>
          </w:p>
        </w:tc>
      </w:tr>
      <w:tr w:rsidR="00CD4514" w:rsidRPr="008A63DE" w:rsidTr="00C16ED4">
        <w:trPr>
          <w:trHeight w:val="340"/>
          <w:jc w:val="center"/>
        </w:trPr>
        <w:tc>
          <w:tcPr>
            <w:tcW w:w="1582" w:type="pct"/>
            <w:tcBorders>
              <w:top w:val="nil"/>
              <w:left w:val="nil"/>
              <w:bottom w:val="nil"/>
              <w:right w:val="nil"/>
            </w:tcBorders>
            <w:vAlign w:val="center"/>
          </w:tcPr>
          <w:p w:rsidR="00CD4514" w:rsidRPr="006045BF" w:rsidRDefault="00CD4514" w:rsidP="00C16ED4">
            <w:pPr>
              <w:pStyle w:val="Footer"/>
              <w:tabs>
                <w:tab w:val="clear" w:pos="4153"/>
                <w:tab w:val="clear" w:pos="8306"/>
              </w:tabs>
              <w:rPr>
                <w:rFonts w:ascii="Arial" w:hAnsi="Arial" w:cs="Arial"/>
                <w:sz w:val="18"/>
                <w:szCs w:val="18"/>
              </w:rPr>
            </w:pPr>
            <w:r w:rsidRPr="006045BF">
              <w:rPr>
                <w:rFonts w:ascii="Arial" w:hAnsi="Arial" w:cs="Arial"/>
                <w:sz w:val="18"/>
                <w:szCs w:val="18"/>
              </w:rPr>
              <w:t xml:space="preserve">Wholesale and </w:t>
            </w:r>
            <w:r w:rsidR="00C16ED4" w:rsidRPr="006045BF">
              <w:rPr>
                <w:rFonts w:ascii="Arial" w:hAnsi="Arial" w:cs="Arial"/>
                <w:sz w:val="18"/>
                <w:szCs w:val="18"/>
              </w:rPr>
              <w:t>R</w:t>
            </w:r>
            <w:r w:rsidRPr="006045BF">
              <w:rPr>
                <w:rFonts w:ascii="Arial" w:hAnsi="Arial" w:cs="Arial"/>
                <w:sz w:val="18"/>
                <w:szCs w:val="18"/>
              </w:rPr>
              <w:t xml:space="preserve">etail </w:t>
            </w:r>
            <w:r w:rsidR="00C16ED4" w:rsidRPr="006045BF">
              <w:rPr>
                <w:rFonts w:ascii="Arial" w:hAnsi="Arial" w:cs="Arial"/>
                <w:sz w:val="18"/>
                <w:szCs w:val="18"/>
              </w:rPr>
              <w:t>T</w:t>
            </w:r>
            <w:r w:rsidRPr="006045BF">
              <w:rPr>
                <w:rFonts w:ascii="Arial" w:hAnsi="Arial" w:cs="Arial"/>
                <w:sz w:val="18"/>
                <w:szCs w:val="18"/>
              </w:rPr>
              <w:t>rade</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140,100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150,200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162,600</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161,700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166,200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164,400</w:t>
            </w:r>
          </w:p>
        </w:tc>
      </w:tr>
      <w:tr w:rsidR="00CD4514" w:rsidRPr="008A63DE" w:rsidTr="00C16ED4">
        <w:trPr>
          <w:trHeight w:val="340"/>
          <w:jc w:val="center"/>
        </w:trPr>
        <w:tc>
          <w:tcPr>
            <w:tcW w:w="1582" w:type="pct"/>
            <w:tcBorders>
              <w:top w:val="nil"/>
              <w:left w:val="nil"/>
              <w:bottom w:val="nil"/>
              <w:right w:val="nil"/>
            </w:tcBorders>
            <w:vAlign w:val="center"/>
          </w:tcPr>
          <w:p w:rsidR="00CD4514" w:rsidRPr="006045BF" w:rsidRDefault="00CD4514" w:rsidP="00C16ED4">
            <w:pPr>
              <w:pStyle w:val="Footer"/>
              <w:tabs>
                <w:tab w:val="clear" w:pos="4153"/>
                <w:tab w:val="clear" w:pos="8306"/>
              </w:tabs>
              <w:rPr>
                <w:rFonts w:ascii="Arial" w:hAnsi="Arial" w:cs="Arial"/>
                <w:sz w:val="18"/>
                <w:szCs w:val="18"/>
                <w:rtl/>
              </w:rPr>
            </w:pPr>
            <w:r w:rsidRPr="006045BF">
              <w:rPr>
                <w:rFonts w:ascii="Arial" w:hAnsi="Arial" w:cs="Arial"/>
                <w:sz w:val="18"/>
                <w:szCs w:val="18"/>
              </w:rPr>
              <w:t xml:space="preserve">Transportation and </w:t>
            </w:r>
            <w:r w:rsidR="00C16ED4" w:rsidRPr="006045BF">
              <w:rPr>
                <w:rFonts w:ascii="Arial" w:hAnsi="Arial" w:cs="Arial"/>
                <w:sz w:val="18"/>
                <w:szCs w:val="18"/>
              </w:rPr>
              <w:t>S</w:t>
            </w:r>
            <w:r w:rsidRPr="006045BF">
              <w:rPr>
                <w:rFonts w:ascii="Arial" w:hAnsi="Arial" w:cs="Arial"/>
                <w:sz w:val="18"/>
                <w:szCs w:val="18"/>
              </w:rPr>
              <w:t xml:space="preserve">torage </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43,800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38,000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43,900</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46,700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48,600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43,600</w:t>
            </w:r>
          </w:p>
        </w:tc>
      </w:tr>
      <w:tr w:rsidR="00CD4514" w:rsidRPr="008A63DE" w:rsidTr="00C16ED4">
        <w:trPr>
          <w:trHeight w:val="340"/>
          <w:jc w:val="center"/>
        </w:trPr>
        <w:tc>
          <w:tcPr>
            <w:tcW w:w="1582" w:type="pct"/>
            <w:tcBorders>
              <w:top w:val="nil"/>
              <w:left w:val="nil"/>
              <w:bottom w:val="nil"/>
              <w:right w:val="nil"/>
            </w:tcBorders>
            <w:vAlign w:val="center"/>
          </w:tcPr>
          <w:p w:rsidR="00CD4514" w:rsidRPr="006045BF" w:rsidRDefault="00CD4514" w:rsidP="00C16ED4">
            <w:pPr>
              <w:pStyle w:val="Footer"/>
              <w:tabs>
                <w:tab w:val="clear" w:pos="4153"/>
                <w:tab w:val="clear" w:pos="8306"/>
              </w:tabs>
              <w:rPr>
                <w:rFonts w:ascii="Arial" w:hAnsi="Arial" w:cs="Arial"/>
                <w:sz w:val="18"/>
                <w:szCs w:val="18"/>
              </w:rPr>
            </w:pPr>
            <w:r w:rsidRPr="006045BF">
              <w:rPr>
                <w:rFonts w:ascii="Arial" w:hAnsi="Arial" w:cs="Arial"/>
                <w:sz w:val="18"/>
                <w:szCs w:val="18"/>
              </w:rPr>
              <w:t xml:space="preserve">Information and </w:t>
            </w:r>
            <w:r w:rsidR="00C16ED4" w:rsidRPr="006045BF">
              <w:rPr>
                <w:rFonts w:ascii="Arial" w:hAnsi="Arial" w:cs="Arial"/>
                <w:sz w:val="18"/>
                <w:szCs w:val="18"/>
              </w:rPr>
              <w:t>C</w:t>
            </w:r>
            <w:r w:rsidRPr="006045BF">
              <w:rPr>
                <w:rFonts w:ascii="Arial" w:hAnsi="Arial" w:cs="Arial"/>
                <w:sz w:val="18"/>
                <w:szCs w:val="18"/>
              </w:rPr>
              <w:t>ommunications</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7,400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7,900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8,300</w:t>
            </w:r>
          </w:p>
        </w:tc>
        <w:tc>
          <w:tcPr>
            <w:tcW w:w="569"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9,700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10,100</w:t>
            </w:r>
          </w:p>
        </w:tc>
        <w:tc>
          <w:tcPr>
            <w:tcW w:w="570" w:type="pct"/>
            <w:tcBorders>
              <w:top w:val="nil"/>
              <w:left w:val="nil"/>
              <w:bottom w:val="nil"/>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10,300</w:t>
            </w:r>
          </w:p>
        </w:tc>
      </w:tr>
      <w:tr w:rsidR="00CD4514" w:rsidRPr="008A63DE" w:rsidTr="00C16ED4">
        <w:trPr>
          <w:trHeight w:val="340"/>
          <w:jc w:val="center"/>
        </w:trPr>
        <w:tc>
          <w:tcPr>
            <w:tcW w:w="1582" w:type="pct"/>
            <w:tcBorders>
              <w:top w:val="nil"/>
              <w:left w:val="nil"/>
              <w:bottom w:val="single" w:sz="12" w:space="0" w:color="auto"/>
              <w:right w:val="nil"/>
            </w:tcBorders>
            <w:vAlign w:val="center"/>
          </w:tcPr>
          <w:p w:rsidR="00CD4514" w:rsidRPr="006045BF" w:rsidRDefault="00CD4514" w:rsidP="00C16ED4">
            <w:pPr>
              <w:pStyle w:val="Footer"/>
              <w:tabs>
                <w:tab w:val="clear" w:pos="4153"/>
                <w:tab w:val="clear" w:pos="8306"/>
              </w:tabs>
              <w:rPr>
                <w:rFonts w:ascii="Arial" w:hAnsi="Arial" w:cs="Arial"/>
                <w:sz w:val="18"/>
                <w:szCs w:val="18"/>
              </w:rPr>
            </w:pPr>
            <w:r w:rsidRPr="006045BF">
              <w:rPr>
                <w:rFonts w:ascii="Arial" w:hAnsi="Arial" w:cs="Arial"/>
                <w:sz w:val="18"/>
                <w:szCs w:val="18"/>
              </w:rPr>
              <w:t xml:space="preserve">Services and </w:t>
            </w:r>
            <w:r w:rsidR="00C16ED4" w:rsidRPr="006045BF">
              <w:rPr>
                <w:rFonts w:ascii="Arial" w:hAnsi="Arial" w:cs="Arial"/>
                <w:sz w:val="18"/>
                <w:szCs w:val="18"/>
              </w:rPr>
              <w:t>O</w:t>
            </w:r>
            <w:r w:rsidRPr="006045BF">
              <w:rPr>
                <w:rFonts w:ascii="Arial" w:hAnsi="Arial" w:cs="Arial"/>
                <w:sz w:val="18"/>
                <w:szCs w:val="18"/>
              </w:rPr>
              <w:t xml:space="preserve">ther </w:t>
            </w:r>
            <w:r w:rsidR="00C16ED4" w:rsidRPr="006045BF">
              <w:rPr>
                <w:rFonts w:ascii="Arial" w:hAnsi="Arial" w:cs="Arial"/>
                <w:sz w:val="18"/>
                <w:szCs w:val="18"/>
              </w:rPr>
              <w:t>B</w:t>
            </w:r>
            <w:r w:rsidRPr="006045BF">
              <w:rPr>
                <w:rFonts w:ascii="Arial" w:hAnsi="Arial" w:cs="Arial"/>
                <w:sz w:val="18"/>
                <w:szCs w:val="18"/>
              </w:rPr>
              <w:t xml:space="preserve">ranches**                                                                          </w:t>
            </w:r>
          </w:p>
        </w:tc>
        <w:tc>
          <w:tcPr>
            <w:tcW w:w="569" w:type="pct"/>
            <w:tcBorders>
              <w:top w:val="nil"/>
              <w:left w:val="nil"/>
              <w:bottom w:val="single" w:sz="12" w:space="0" w:color="auto"/>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322,700</w:t>
            </w:r>
          </w:p>
        </w:tc>
        <w:tc>
          <w:tcPr>
            <w:tcW w:w="570" w:type="pct"/>
            <w:tcBorders>
              <w:top w:val="nil"/>
              <w:left w:val="nil"/>
              <w:bottom w:val="single" w:sz="12" w:space="0" w:color="auto"/>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337,300</w:t>
            </w:r>
          </w:p>
        </w:tc>
        <w:tc>
          <w:tcPr>
            <w:tcW w:w="570" w:type="pct"/>
            <w:tcBorders>
              <w:top w:val="nil"/>
              <w:left w:val="nil"/>
              <w:bottom w:val="single" w:sz="12" w:space="0" w:color="auto"/>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352,800</w:t>
            </w:r>
          </w:p>
        </w:tc>
        <w:tc>
          <w:tcPr>
            <w:tcW w:w="569" w:type="pct"/>
            <w:tcBorders>
              <w:top w:val="nil"/>
              <w:left w:val="nil"/>
              <w:bottom w:val="single" w:sz="12" w:space="0" w:color="auto"/>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353,700</w:t>
            </w:r>
          </w:p>
        </w:tc>
        <w:tc>
          <w:tcPr>
            <w:tcW w:w="570" w:type="pct"/>
            <w:tcBorders>
              <w:top w:val="nil"/>
              <w:left w:val="nil"/>
              <w:bottom w:val="single" w:sz="12" w:space="0" w:color="auto"/>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347,400</w:t>
            </w:r>
          </w:p>
        </w:tc>
        <w:tc>
          <w:tcPr>
            <w:tcW w:w="570" w:type="pct"/>
            <w:tcBorders>
              <w:top w:val="nil"/>
              <w:left w:val="nil"/>
              <w:bottom w:val="single" w:sz="12" w:space="0" w:color="auto"/>
              <w:right w:val="nil"/>
            </w:tcBorders>
            <w:vAlign w:val="center"/>
          </w:tcPr>
          <w:p w:rsidR="00CD4514" w:rsidRPr="006045BF" w:rsidRDefault="00CD451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344,900</w:t>
            </w:r>
          </w:p>
        </w:tc>
      </w:tr>
      <w:tr w:rsidR="00CD4514" w:rsidRPr="008A63DE" w:rsidTr="00ED301B">
        <w:trPr>
          <w:trHeight w:val="340"/>
          <w:jc w:val="center"/>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West Bank</w:t>
            </w:r>
          </w:p>
        </w:tc>
      </w:tr>
      <w:tr w:rsidR="00C16ED4" w:rsidRPr="008A63DE" w:rsidTr="00C16ED4">
        <w:trPr>
          <w:trHeight w:val="340"/>
          <w:jc w:val="center"/>
        </w:trPr>
        <w:tc>
          <w:tcPr>
            <w:tcW w:w="1582" w:type="pct"/>
            <w:tcBorders>
              <w:top w:val="single" w:sz="12" w:space="0" w:color="auto"/>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Agriculture</w:t>
            </w:r>
          </w:p>
        </w:tc>
        <w:tc>
          <w:tcPr>
            <w:tcW w:w="569"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59,900</w:t>
            </w:r>
          </w:p>
        </w:tc>
        <w:tc>
          <w:tcPr>
            <w:tcW w:w="570"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61,800</w:t>
            </w:r>
          </w:p>
        </w:tc>
        <w:tc>
          <w:tcPr>
            <w:tcW w:w="570"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52,500</w:t>
            </w:r>
          </w:p>
        </w:tc>
        <w:tc>
          <w:tcPr>
            <w:tcW w:w="569"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44,200</w:t>
            </w:r>
          </w:p>
        </w:tc>
        <w:tc>
          <w:tcPr>
            <w:tcW w:w="570"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39,300</w:t>
            </w:r>
          </w:p>
        </w:tc>
        <w:tc>
          <w:tcPr>
            <w:tcW w:w="570"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37,000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Industry</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78,600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86,300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89,000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91,600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90,400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88,300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Construction</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56,800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64,000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61,300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64,600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70,100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74,900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Wholesale and Retail Trade</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92,800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106,400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112,400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108,500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114,200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115,400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tl/>
              </w:rPr>
            </w:pPr>
            <w:r w:rsidRPr="006045BF">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23,800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24,400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26,500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29,900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28,400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24,800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Information and Communications</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5,200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5,300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5,200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6,400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6,800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7,400</w:t>
            </w:r>
          </w:p>
        </w:tc>
      </w:tr>
      <w:tr w:rsidR="00C16ED4" w:rsidRPr="008A63DE" w:rsidTr="00C16ED4">
        <w:trPr>
          <w:trHeight w:val="340"/>
          <w:jc w:val="center"/>
        </w:trPr>
        <w:tc>
          <w:tcPr>
            <w:tcW w:w="1582" w:type="pct"/>
            <w:tcBorders>
              <w:top w:val="nil"/>
              <w:left w:val="nil"/>
              <w:bottom w:val="single" w:sz="12" w:space="0" w:color="auto"/>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 xml:space="preserve">Services and Other Branches**                                                                          </w:t>
            </w:r>
          </w:p>
        </w:tc>
        <w:tc>
          <w:tcPr>
            <w:tcW w:w="569"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179,100</w:t>
            </w:r>
          </w:p>
        </w:tc>
        <w:tc>
          <w:tcPr>
            <w:tcW w:w="570"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187,100</w:t>
            </w:r>
          </w:p>
        </w:tc>
        <w:tc>
          <w:tcPr>
            <w:tcW w:w="570"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194,600</w:t>
            </w:r>
          </w:p>
        </w:tc>
        <w:tc>
          <w:tcPr>
            <w:tcW w:w="569"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192,900</w:t>
            </w:r>
          </w:p>
        </w:tc>
        <w:tc>
          <w:tcPr>
            <w:tcW w:w="570"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192,400</w:t>
            </w:r>
          </w:p>
        </w:tc>
        <w:tc>
          <w:tcPr>
            <w:tcW w:w="570"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200,400</w:t>
            </w:r>
          </w:p>
        </w:tc>
      </w:tr>
      <w:tr w:rsidR="00CD4514" w:rsidRPr="008A63DE" w:rsidTr="00ED301B">
        <w:trPr>
          <w:trHeight w:val="340"/>
          <w:jc w:val="center"/>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Gaza Strip</w:t>
            </w:r>
          </w:p>
        </w:tc>
      </w:tr>
      <w:tr w:rsidR="00C16ED4" w:rsidRPr="008A63DE" w:rsidTr="00C16ED4">
        <w:trPr>
          <w:trHeight w:val="340"/>
          <w:jc w:val="center"/>
        </w:trPr>
        <w:tc>
          <w:tcPr>
            <w:tcW w:w="1582" w:type="pct"/>
            <w:tcBorders>
              <w:top w:val="single" w:sz="12" w:space="0" w:color="auto"/>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Agriculture</w:t>
            </w:r>
          </w:p>
        </w:tc>
        <w:tc>
          <w:tcPr>
            <w:tcW w:w="569"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22,800</w:t>
            </w:r>
          </w:p>
        </w:tc>
        <w:tc>
          <w:tcPr>
            <w:tcW w:w="570"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21,700</w:t>
            </w:r>
          </w:p>
        </w:tc>
        <w:tc>
          <w:tcPr>
            <w:tcW w:w="570"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18,200</w:t>
            </w:r>
          </w:p>
        </w:tc>
        <w:tc>
          <w:tcPr>
            <w:tcW w:w="569"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15,700</w:t>
            </w:r>
          </w:p>
        </w:tc>
        <w:tc>
          <w:tcPr>
            <w:tcW w:w="570"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14,900</w:t>
            </w:r>
          </w:p>
        </w:tc>
        <w:tc>
          <w:tcPr>
            <w:tcW w:w="570" w:type="pct"/>
            <w:tcBorders>
              <w:top w:val="single" w:sz="12" w:space="0" w:color="auto"/>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14,500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Industry</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14,200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12,200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16,100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18,100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17,100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15,200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Construction</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18,600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4,900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11,900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18,000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16,200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8,900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Wholesale and Retail Trade</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47,300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43,800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50,200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53,200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52,000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49,000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tl/>
              </w:rPr>
            </w:pPr>
            <w:r w:rsidRPr="006045BF">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20,000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13,600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17,400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16,800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20,200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18,800</w:t>
            </w:r>
          </w:p>
        </w:tc>
      </w:tr>
      <w:tr w:rsidR="00C16ED4" w:rsidRPr="008A63DE" w:rsidTr="00C16ED4">
        <w:trPr>
          <w:trHeight w:val="340"/>
          <w:jc w:val="center"/>
        </w:trPr>
        <w:tc>
          <w:tcPr>
            <w:tcW w:w="1582" w:type="pct"/>
            <w:tcBorders>
              <w:top w:val="nil"/>
              <w:left w:val="nil"/>
              <w:bottom w:val="nil"/>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Information and Communications</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2,200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2,600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3,100</w:t>
            </w:r>
          </w:p>
        </w:tc>
        <w:tc>
          <w:tcPr>
            <w:tcW w:w="569"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3,300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3,300</w:t>
            </w:r>
          </w:p>
        </w:tc>
        <w:tc>
          <w:tcPr>
            <w:tcW w:w="570" w:type="pct"/>
            <w:tcBorders>
              <w:top w:val="nil"/>
              <w:left w:val="nil"/>
              <w:bottom w:val="nil"/>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2,900</w:t>
            </w:r>
          </w:p>
        </w:tc>
      </w:tr>
      <w:tr w:rsidR="00C16ED4" w:rsidRPr="008A63DE" w:rsidTr="00C16ED4">
        <w:trPr>
          <w:trHeight w:val="340"/>
          <w:jc w:val="center"/>
        </w:trPr>
        <w:tc>
          <w:tcPr>
            <w:tcW w:w="1582" w:type="pct"/>
            <w:tcBorders>
              <w:top w:val="nil"/>
              <w:left w:val="nil"/>
              <w:bottom w:val="single" w:sz="12" w:space="0" w:color="auto"/>
              <w:right w:val="nil"/>
            </w:tcBorders>
            <w:vAlign w:val="center"/>
          </w:tcPr>
          <w:p w:rsidR="00C16ED4" w:rsidRPr="006045BF" w:rsidRDefault="00C16ED4" w:rsidP="006F4FF3">
            <w:pPr>
              <w:pStyle w:val="Footer"/>
              <w:tabs>
                <w:tab w:val="clear" w:pos="4153"/>
                <w:tab w:val="clear" w:pos="8306"/>
              </w:tabs>
              <w:rPr>
                <w:rFonts w:ascii="Arial" w:hAnsi="Arial" w:cs="Arial"/>
                <w:sz w:val="18"/>
                <w:szCs w:val="18"/>
              </w:rPr>
            </w:pPr>
            <w:r w:rsidRPr="006045BF">
              <w:rPr>
                <w:rFonts w:ascii="Arial" w:hAnsi="Arial" w:cs="Arial"/>
                <w:sz w:val="18"/>
                <w:szCs w:val="18"/>
              </w:rPr>
              <w:t xml:space="preserve">Services and Other Branches**                                                                          </w:t>
            </w:r>
          </w:p>
        </w:tc>
        <w:tc>
          <w:tcPr>
            <w:tcW w:w="569"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143,600</w:t>
            </w:r>
          </w:p>
        </w:tc>
        <w:tc>
          <w:tcPr>
            <w:tcW w:w="570"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150,200</w:t>
            </w:r>
          </w:p>
        </w:tc>
        <w:tc>
          <w:tcPr>
            <w:tcW w:w="570"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158,200</w:t>
            </w:r>
          </w:p>
        </w:tc>
        <w:tc>
          <w:tcPr>
            <w:tcW w:w="569"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160,800</w:t>
            </w:r>
          </w:p>
        </w:tc>
        <w:tc>
          <w:tcPr>
            <w:tcW w:w="570"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lang w:eastAsia="ar-SA"/>
              </w:rPr>
              <w:t>155,000</w:t>
            </w:r>
          </w:p>
        </w:tc>
        <w:tc>
          <w:tcPr>
            <w:tcW w:w="570" w:type="pct"/>
            <w:tcBorders>
              <w:top w:val="nil"/>
              <w:left w:val="nil"/>
              <w:bottom w:val="single" w:sz="12" w:space="0" w:color="auto"/>
              <w:right w:val="nil"/>
            </w:tcBorders>
            <w:vAlign w:val="center"/>
          </w:tcPr>
          <w:p w:rsidR="00C16ED4" w:rsidRPr="006045BF" w:rsidRDefault="00C16ED4" w:rsidP="00993561">
            <w:pPr>
              <w:spacing w:after="0" w:line="240" w:lineRule="auto"/>
              <w:ind w:firstLineChars="100" w:firstLine="170"/>
              <w:jc w:val="right"/>
              <w:rPr>
                <w:rFonts w:ascii="Arial" w:eastAsia="Times New Roman" w:hAnsi="Arial" w:cs="Arial"/>
                <w:sz w:val="17"/>
                <w:szCs w:val="17"/>
                <w:lang w:eastAsia="ar-SA"/>
              </w:rPr>
            </w:pPr>
            <w:r w:rsidRPr="006045BF">
              <w:rPr>
                <w:rFonts w:ascii="Arial" w:eastAsia="Times New Roman" w:hAnsi="Arial" w:cs="Arial"/>
                <w:sz w:val="17"/>
                <w:szCs w:val="17"/>
                <w:rtl/>
                <w:lang w:eastAsia="ar-SA"/>
              </w:rPr>
              <w:t>144,500</w:t>
            </w:r>
          </w:p>
        </w:tc>
      </w:tr>
    </w:tbl>
    <w:p w:rsidR="00CD4514" w:rsidRPr="00477F96" w:rsidRDefault="000A327F" w:rsidP="000A327F">
      <w:pPr>
        <w:shd w:val="clear" w:color="auto" w:fill="FFFFFF" w:themeFill="background1"/>
        <w:spacing w:after="0" w:line="240" w:lineRule="auto"/>
        <w:ind w:hanging="142"/>
        <w:jc w:val="both"/>
        <w:rPr>
          <w:rFonts w:ascii="Times New Roman" w:hAnsi="Times New Roman" w:cs="Times New Roman"/>
          <w:sz w:val="18"/>
          <w:szCs w:val="18"/>
        </w:rPr>
      </w:pPr>
      <w:r>
        <w:rPr>
          <w:rFonts w:ascii="Times New Roman" w:hAnsi="Times New Roman" w:cs="Times New Roman"/>
          <w:snapToGrid w:val="0"/>
          <w:sz w:val="18"/>
          <w:szCs w:val="18"/>
        </w:rPr>
        <w:t xml:space="preserve">   * </w:t>
      </w:r>
      <w:r w:rsidR="00CD4514" w:rsidRPr="00477F96">
        <w:rPr>
          <w:rFonts w:ascii="Times New Roman" w:hAnsi="Times New Roman" w:cs="Times New Roman"/>
          <w:snapToGrid w:val="0"/>
          <w:sz w:val="18"/>
          <w:szCs w:val="18"/>
          <w:lang w:val="en-US"/>
        </w:rPr>
        <w:t xml:space="preserve">The </w:t>
      </w:r>
      <w:r w:rsidR="00CD4514" w:rsidRPr="00477F96">
        <w:rPr>
          <w:rFonts w:ascii="Times New Roman" w:hAnsi="Times New Roman" w:cs="Times New Roman"/>
          <w:sz w:val="18"/>
          <w:szCs w:val="18"/>
        </w:rPr>
        <w:t xml:space="preserve">number of employed </w:t>
      </w:r>
      <w:r w:rsidR="005D705A">
        <w:rPr>
          <w:rFonts w:ascii="Times New Roman" w:hAnsi="Times New Roman" w:cs="Times New Roman"/>
          <w:sz w:val="18"/>
          <w:szCs w:val="18"/>
        </w:rPr>
        <w:t xml:space="preserve">persons </w:t>
      </w:r>
      <w:r w:rsidR="00CD4514" w:rsidRPr="00477F96">
        <w:rPr>
          <w:rFonts w:ascii="Times New Roman" w:hAnsi="Times New Roman" w:cs="Times New Roman"/>
          <w:sz w:val="18"/>
          <w:szCs w:val="18"/>
        </w:rPr>
        <w:t>doesn’t include the employees in Israel and settlements and abroad.</w:t>
      </w:r>
    </w:p>
    <w:p w:rsidR="00CD4514" w:rsidRPr="00477F96" w:rsidRDefault="000A327F" w:rsidP="00477F96">
      <w:pPr>
        <w:shd w:val="clear" w:color="auto" w:fill="FFFFFF" w:themeFill="background1"/>
        <w:spacing w:after="0" w:line="240" w:lineRule="auto"/>
        <w:ind w:hanging="142"/>
        <w:jc w:val="both"/>
        <w:rPr>
          <w:rFonts w:ascii="Times New Roman" w:hAnsi="Times New Roman" w:cs="Times New Roman"/>
          <w:snapToGrid w:val="0"/>
          <w:sz w:val="18"/>
          <w:szCs w:val="18"/>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 xml:space="preserve">  **</w:t>
      </w:r>
      <w:r w:rsidR="00CD4514" w:rsidRPr="00477F96">
        <w:rPr>
          <w:rFonts w:ascii="Times New Roman" w:hAnsi="Times New Roman" w:cs="Times New Roman"/>
          <w:b/>
          <w:bCs/>
          <w:sz w:val="24"/>
          <w:szCs w:val="24"/>
        </w:rPr>
        <w:t xml:space="preserve"> </w:t>
      </w:r>
      <w:r w:rsidRPr="00477F96">
        <w:rPr>
          <w:rFonts w:ascii="Times New Roman" w:hAnsi="Times New Roman" w:cs="Times New Roman"/>
          <w:sz w:val="18"/>
          <w:szCs w:val="18"/>
        </w:rPr>
        <w:t>Including</w:t>
      </w:r>
      <w:r w:rsidR="00CD4514" w:rsidRPr="00477F96">
        <w:rPr>
          <w:rFonts w:ascii="Times New Roman" w:hAnsi="Times New Roman" w:cs="Times New Roman"/>
          <w:sz w:val="18"/>
          <w:szCs w:val="18"/>
        </w:rPr>
        <w:t xml:space="preserve"> government employees</w:t>
      </w:r>
      <w:r w:rsidR="00CD4514" w:rsidRPr="00477F96">
        <w:rPr>
          <w:rFonts w:ascii="Times New Roman" w:hAnsi="Times New Roman" w:cs="Times New Roman"/>
          <w:snapToGrid w:val="0"/>
          <w:sz w:val="18"/>
          <w:szCs w:val="18"/>
        </w:rPr>
        <w:t xml:space="preserve">     </w:t>
      </w:r>
    </w:p>
    <w:p w:rsidR="00CD4514" w:rsidRPr="00A77491" w:rsidRDefault="00CD4514" w:rsidP="00477F96">
      <w:pPr>
        <w:shd w:val="clear" w:color="auto" w:fill="FFFFFF" w:themeFill="background1"/>
        <w:spacing w:after="0" w:line="240" w:lineRule="auto"/>
        <w:ind w:hanging="142"/>
        <w:jc w:val="both"/>
        <w:rPr>
          <w:rFonts w:ascii="Times New Roman" w:hAnsi="Times New Roman" w:cs="Times New Roman"/>
          <w:snapToGrid w:val="0"/>
          <w:sz w:val="28"/>
          <w:szCs w:val="28"/>
        </w:rPr>
      </w:pPr>
      <w:r w:rsidRPr="00A77491">
        <w:rPr>
          <w:rFonts w:ascii="Times New Roman" w:hAnsi="Times New Roman" w:cs="Times New Roman"/>
          <w:snapToGrid w:val="0"/>
          <w:sz w:val="28"/>
          <w:szCs w:val="28"/>
        </w:rPr>
        <w:t xml:space="preserve">          </w:t>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Despite the disparity in change rates in the number of employed persons in various economic activities during the year 2018, the percentage distribution of employed persons in these activities remained similar to those of 2017</w:t>
      </w:r>
      <w:r w:rsidRPr="00477F96">
        <w:rPr>
          <w:rFonts w:ascii="Times New Roman" w:hAnsi="Times New Roman" w:cs="Times New Roman"/>
          <w:sz w:val="24"/>
          <w:szCs w:val="24"/>
        </w:rPr>
        <w:t xml:space="preserve">.  Employed persons in Palestine were largely concentrated in services and other branches activities, comprising collectively 43.0% during the year 2018.  This is followed by the number of employed persons in </w:t>
      </w:r>
      <w:r w:rsidRPr="00477F96">
        <w:rPr>
          <w:rFonts w:ascii="Times New Roman" w:hAnsi="Times New Roman" w:cs="Times New Roman"/>
          <w:snapToGrid w:val="0"/>
          <w:sz w:val="24"/>
          <w:szCs w:val="24"/>
        </w:rPr>
        <w:t>wholesale and retail trade</w:t>
      </w:r>
      <w:r w:rsidRPr="00477F96">
        <w:rPr>
          <w:rFonts w:ascii="Times New Roman" w:hAnsi="Times New Roman" w:cs="Times New Roman"/>
          <w:sz w:val="24"/>
          <w:szCs w:val="24"/>
        </w:rPr>
        <w:t xml:space="preserve"> activities, marking 20.5%. The figures varied significantly between the West Bank and Gaza Strip.  In Gaza Strip, employed persons in the service and other branches represented 57.0% compared to 36.6% in the West Bank, whereas in industry constituted 16.1% in the West Bank compared to 6.0% in Gaza Strip,  and in </w:t>
      </w:r>
      <w:r w:rsidRPr="00477F96">
        <w:rPr>
          <w:rFonts w:ascii="Times New Roman" w:hAnsi="Times New Roman" w:cs="Times New Roman"/>
          <w:sz w:val="24"/>
          <w:szCs w:val="24"/>
        </w:rPr>
        <w:lastRenderedPageBreak/>
        <w:t>construction reached 13.7% in the West Bank compared to 3.5% in Gaza Strip. (See figure below).</w:t>
      </w:r>
    </w:p>
    <w:p w:rsidR="00CD4514" w:rsidRPr="00477F96" w:rsidRDefault="00CD4514" w:rsidP="00477F96">
      <w:pPr>
        <w:spacing w:after="0" w:line="240" w:lineRule="auto"/>
        <w:jc w:val="both"/>
        <w:rPr>
          <w:rFonts w:ascii="Times New Roman" w:hAnsi="Times New Roman" w:cs="Times New Roman"/>
          <w:sz w:val="24"/>
          <w:szCs w:val="24"/>
        </w:rPr>
      </w:pPr>
    </w:p>
    <w:p w:rsidR="00CD4514" w:rsidRDefault="00CD4514" w:rsidP="00FE4C48">
      <w:pPr>
        <w:spacing w:after="0" w:line="240" w:lineRule="auto"/>
        <w:jc w:val="center"/>
        <w:rPr>
          <w:rFonts w:ascii="Arial" w:hAnsi="Arial" w:cs="Arial"/>
          <w:b/>
          <w:bCs/>
          <w:lang w:eastAsia="ar-SA"/>
        </w:rPr>
      </w:pPr>
      <w:r w:rsidRPr="000A327F">
        <w:rPr>
          <w:rFonts w:ascii="Arial" w:hAnsi="Arial" w:cs="Arial"/>
          <w:b/>
          <w:bCs/>
          <w:lang w:val="en-US" w:eastAsia="ar-SA"/>
        </w:rPr>
        <w:t xml:space="preserve">Percentage distribution </w:t>
      </w:r>
      <w:r w:rsidRPr="000A327F">
        <w:rPr>
          <w:rFonts w:ascii="Arial" w:hAnsi="Arial" w:cs="Arial"/>
          <w:b/>
          <w:bCs/>
          <w:lang w:eastAsia="ar-SA"/>
        </w:rPr>
        <w:t>of employed persons* by economic activity and region, 2018</w:t>
      </w:r>
    </w:p>
    <w:tbl>
      <w:tblPr>
        <w:tblStyle w:val="TableGrid"/>
        <w:tblW w:w="0" w:type="auto"/>
        <w:tblInd w:w="108" w:type="dxa"/>
        <w:tblLayout w:type="fixed"/>
        <w:tblLook w:val="04A0"/>
      </w:tblPr>
      <w:tblGrid>
        <w:gridCol w:w="9072"/>
      </w:tblGrid>
      <w:tr w:rsidR="00CD4514" w:rsidRPr="00477F96" w:rsidTr="00A77491">
        <w:trPr>
          <w:trHeight w:val="3870"/>
        </w:trPr>
        <w:tc>
          <w:tcPr>
            <w:tcW w:w="9072" w:type="dxa"/>
          </w:tcPr>
          <w:p w:rsidR="00CD4514" w:rsidRPr="00477F96" w:rsidRDefault="00CD4514" w:rsidP="00477F96">
            <w:pPr>
              <w:jc w:val="center"/>
              <w:rPr>
                <w:rFonts w:ascii="Times New Roman" w:hAnsi="Times New Roman" w:cs="Times New Roman"/>
                <w:b/>
                <w:bCs/>
                <w:lang w:eastAsia="ar-SA"/>
              </w:rPr>
            </w:pPr>
            <w:r w:rsidRPr="00477F96">
              <w:rPr>
                <w:rFonts w:ascii="Times New Roman" w:hAnsi="Times New Roman" w:cs="Times New Roman"/>
                <w:b/>
                <w:bCs/>
                <w:noProof/>
              </w:rPr>
              <w:drawing>
                <wp:inline distT="0" distB="0" distL="0" distR="0">
                  <wp:extent cx="5562766" cy="2409245"/>
                  <wp:effectExtent l="19050" t="0" r="0" b="0"/>
                  <wp:docPr id="1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CD4514" w:rsidRPr="00477F96" w:rsidRDefault="00CD4514" w:rsidP="00477F96">
      <w:pPr>
        <w:spacing w:after="0" w:line="240" w:lineRule="auto"/>
        <w:jc w:val="both"/>
        <w:rPr>
          <w:rFonts w:ascii="Times New Roman" w:hAnsi="Times New Roman" w:cs="Times New Roman"/>
          <w:sz w:val="18"/>
          <w:szCs w:val="18"/>
        </w:rPr>
      </w:pPr>
      <w:r w:rsidRPr="00477F96">
        <w:rPr>
          <w:rFonts w:ascii="Times New Roman" w:hAnsi="Times New Roman" w:cs="Times New Roman"/>
          <w:sz w:val="18"/>
          <w:szCs w:val="18"/>
        </w:rPr>
        <w:t>* The da</w:t>
      </w:r>
      <w:r w:rsidR="00CC7A70">
        <w:rPr>
          <w:rFonts w:ascii="Times New Roman" w:hAnsi="Times New Roman" w:cs="Times New Roman"/>
          <w:sz w:val="18"/>
          <w:szCs w:val="18"/>
        </w:rPr>
        <w:t>ta doesn’t include the employed persons</w:t>
      </w:r>
      <w:r w:rsidRPr="00477F96">
        <w:rPr>
          <w:rFonts w:ascii="Times New Roman" w:hAnsi="Times New Roman" w:cs="Times New Roman"/>
          <w:sz w:val="18"/>
          <w:szCs w:val="18"/>
        </w:rPr>
        <w:t xml:space="preserve"> in Israel and settlements and abroad.</w:t>
      </w:r>
    </w:p>
    <w:p w:rsidR="00CD4514" w:rsidRPr="00477F96" w:rsidRDefault="00CD4514" w:rsidP="00477F96">
      <w:pPr>
        <w:tabs>
          <w:tab w:val="left" w:pos="950"/>
        </w:tabs>
        <w:spacing w:after="0" w:line="240" w:lineRule="auto"/>
        <w:jc w:val="both"/>
        <w:rPr>
          <w:rFonts w:ascii="Times New Roman" w:hAnsi="Times New Roman" w:cs="Times New Roman"/>
          <w:sz w:val="24"/>
          <w:szCs w:val="24"/>
          <w:lang w:val="en-US"/>
        </w:rPr>
      </w:pPr>
    </w:p>
    <w:p w:rsidR="00CD4514" w:rsidRPr="00FE4C48" w:rsidRDefault="00FE4C48" w:rsidP="00477F96">
      <w:pPr>
        <w:spacing w:after="0" w:line="240" w:lineRule="auto"/>
        <w:jc w:val="both"/>
        <w:rPr>
          <w:rFonts w:ascii="Times New Roman" w:hAnsi="Times New Roman" w:cs="Times New Roman"/>
          <w:b/>
          <w:bCs/>
          <w:sz w:val="24"/>
          <w:szCs w:val="24"/>
          <w:rtl/>
        </w:rPr>
      </w:pPr>
      <w:r>
        <w:rPr>
          <w:rFonts w:ascii="Times New Roman" w:hAnsi="Times New Roman" w:cs="Times New Roman"/>
          <w:b/>
          <w:bCs/>
          <w:sz w:val="24"/>
          <w:szCs w:val="24"/>
        </w:rPr>
        <w:t xml:space="preserve">1.2.4 </w:t>
      </w:r>
      <w:r w:rsidR="00C23C66">
        <w:rPr>
          <w:rFonts w:ascii="Times New Roman" w:hAnsi="Times New Roman" w:cs="Times New Roman"/>
          <w:b/>
          <w:bCs/>
          <w:sz w:val="24"/>
          <w:szCs w:val="24"/>
        </w:rPr>
        <w:t>Wages for Employed Persons</w:t>
      </w:r>
      <w:r w:rsidR="00CD4514" w:rsidRPr="00FE4C48">
        <w:rPr>
          <w:rFonts w:ascii="Times New Roman" w:hAnsi="Times New Roman" w:cs="Times New Roman"/>
          <w:b/>
          <w:bCs/>
          <w:sz w:val="24"/>
          <w:szCs w:val="24"/>
        </w:rPr>
        <w:t xml:space="preserve"> from Palestine</w:t>
      </w:r>
    </w:p>
    <w:p w:rsidR="00CD4514" w:rsidRPr="00477F96" w:rsidRDefault="00CD4514" w:rsidP="00B84D02">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average nominal and re</w:t>
      </w:r>
      <w:r w:rsidR="00C23C66">
        <w:rPr>
          <w:rFonts w:ascii="Times New Roman" w:hAnsi="Times New Roman" w:cs="Times New Roman"/>
          <w:b/>
          <w:bCs/>
          <w:sz w:val="24"/>
          <w:szCs w:val="24"/>
        </w:rPr>
        <w:t>al daily wage for wage employed persons</w:t>
      </w:r>
      <w:r w:rsidRPr="00477F96">
        <w:rPr>
          <w:rFonts w:ascii="Times New Roman" w:hAnsi="Times New Roman" w:cs="Times New Roman"/>
          <w:b/>
          <w:bCs/>
          <w:sz w:val="24"/>
          <w:szCs w:val="24"/>
        </w:rPr>
        <w:t xml:space="preserve"> from Palestine increased during 2018 compared to 2017, where the average nominal daily wage grew by 6.6% reaching NIS 118.8, while average real daily wage increased by 6.9% reaching NIS 107.3 in the same period, </w:t>
      </w:r>
      <w:r w:rsidRPr="00477F96">
        <w:rPr>
          <w:rFonts w:ascii="Times New Roman" w:hAnsi="Times New Roman" w:cs="Times New Roman"/>
          <w:sz w:val="24"/>
          <w:szCs w:val="24"/>
        </w:rPr>
        <w:t xml:space="preserve">due to the decrease in prices, the average nominal and real daily wage in the West Bank was higher than in Gaza Strip.  Indeed, the average nominal daily wage in the West Bank stood at NIS 139.4 compared to NIS 63.1 in Gaza Strip.  As for the average real daily wage, it was NIS 122.0 in the West Bank and NIS 61.4 in Gaza Strip. (See figure </w:t>
      </w:r>
      <w:r w:rsidR="00B84D02">
        <w:rPr>
          <w:rFonts w:ascii="Times New Roman" w:hAnsi="Times New Roman" w:cs="Times New Roman"/>
          <w:sz w:val="24"/>
          <w:szCs w:val="24"/>
        </w:rPr>
        <w:t>below</w:t>
      </w:r>
      <w:r w:rsidRPr="00477F96">
        <w:rPr>
          <w:rFonts w:ascii="Times New Roman" w:hAnsi="Times New Roman" w:cs="Times New Roman"/>
          <w:sz w:val="24"/>
          <w:szCs w:val="24"/>
        </w:rPr>
        <w:t>).</w:t>
      </w:r>
    </w:p>
    <w:p w:rsidR="00CD4514" w:rsidRDefault="00CD4514" w:rsidP="00477F96">
      <w:pPr>
        <w:spacing w:after="0" w:line="240" w:lineRule="auto"/>
        <w:jc w:val="both"/>
        <w:rPr>
          <w:rFonts w:ascii="Times New Roman" w:hAnsi="Times New Roman" w:cs="Times New Roman"/>
          <w:sz w:val="28"/>
          <w:szCs w:val="28"/>
        </w:rPr>
      </w:pPr>
    </w:p>
    <w:p w:rsidR="00CD4514" w:rsidRPr="00FE4C48" w:rsidRDefault="00CD4514" w:rsidP="00477F96">
      <w:pPr>
        <w:spacing w:after="0" w:line="240" w:lineRule="auto"/>
        <w:jc w:val="center"/>
        <w:rPr>
          <w:rFonts w:ascii="Arial" w:hAnsi="Arial" w:cs="Arial"/>
          <w:b/>
          <w:bCs/>
        </w:rPr>
      </w:pPr>
      <w:r w:rsidRPr="00FE4C48">
        <w:rPr>
          <w:rFonts w:ascii="Arial" w:hAnsi="Arial" w:cs="Arial"/>
          <w:b/>
          <w:bCs/>
        </w:rPr>
        <w:t>Average nominal and real daily wage</w:t>
      </w:r>
      <w:r w:rsidR="00840591">
        <w:rPr>
          <w:rFonts w:ascii="Arial" w:hAnsi="Arial" w:cs="Arial"/>
          <w:b/>
          <w:bCs/>
        </w:rPr>
        <w:t xml:space="preserve"> in Israeli shekel for employed persons</w:t>
      </w:r>
      <w:r w:rsidRPr="00FE4C48">
        <w:rPr>
          <w:rFonts w:ascii="Arial" w:hAnsi="Arial" w:cs="Arial"/>
          <w:b/>
          <w:bCs/>
          <w:lang w:val="en-US"/>
        </w:rPr>
        <w:t>*</w:t>
      </w:r>
      <w:r w:rsidR="00EF105D">
        <w:rPr>
          <w:rFonts w:ascii="Arial" w:hAnsi="Arial" w:cs="Arial"/>
          <w:b/>
          <w:bCs/>
        </w:rPr>
        <w:t xml:space="preserve"> from Palestine 2010-</w:t>
      </w:r>
      <w:r w:rsidRPr="00FE4C48">
        <w:rPr>
          <w:rFonts w:ascii="Arial" w:hAnsi="Arial" w:cs="Arial"/>
          <w:b/>
          <w:bCs/>
        </w:rPr>
        <w:t>2018: base year 2010</w:t>
      </w:r>
    </w:p>
    <w:tbl>
      <w:tblPr>
        <w:tblStyle w:val="TableGrid"/>
        <w:tblW w:w="0" w:type="auto"/>
        <w:tblInd w:w="108" w:type="dxa"/>
        <w:tblLayout w:type="fixed"/>
        <w:tblLook w:val="04A0"/>
      </w:tblPr>
      <w:tblGrid>
        <w:gridCol w:w="9072"/>
      </w:tblGrid>
      <w:tr w:rsidR="00CD4514" w:rsidRPr="00477F96" w:rsidTr="00FE4C48">
        <w:tc>
          <w:tcPr>
            <w:tcW w:w="9072" w:type="dxa"/>
          </w:tcPr>
          <w:p w:rsidR="00CD4514" w:rsidRPr="00477F96" w:rsidRDefault="00CD4514" w:rsidP="00477F96">
            <w:pPr>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666133" cy="2377440"/>
                  <wp:effectExtent l="19050" t="0" r="0" b="0"/>
                  <wp:docPr id="20"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CD4514" w:rsidRPr="00477F96" w:rsidRDefault="00CD4514" w:rsidP="00477F96">
      <w:pPr>
        <w:spacing w:after="0" w:line="240" w:lineRule="auto"/>
        <w:jc w:val="both"/>
        <w:rPr>
          <w:rFonts w:ascii="Times New Roman" w:hAnsi="Times New Roman" w:cs="Times New Roman"/>
          <w:sz w:val="18"/>
          <w:szCs w:val="18"/>
        </w:rPr>
      </w:pPr>
      <w:r w:rsidRPr="00477F96">
        <w:rPr>
          <w:rFonts w:ascii="Times New Roman" w:hAnsi="Times New Roman" w:cs="Times New Roman"/>
          <w:sz w:val="18"/>
          <w:szCs w:val="18"/>
        </w:rPr>
        <w:t>* The data includes th</w:t>
      </w:r>
      <w:r w:rsidR="00CC7A70">
        <w:rPr>
          <w:rFonts w:ascii="Times New Roman" w:hAnsi="Times New Roman" w:cs="Times New Roman"/>
          <w:sz w:val="18"/>
          <w:szCs w:val="18"/>
        </w:rPr>
        <w:t>e employed persons</w:t>
      </w:r>
      <w:r w:rsidRPr="00477F96">
        <w:rPr>
          <w:rFonts w:ascii="Times New Roman" w:hAnsi="Times New Roman" w:cs="Times New Roman"/>
          <w:sz w:val="18"/>
          <w:szCs w:val="18"/>
        </w:rPr>
        <w:t xml:space="preserve"> in Israel and settlements and abroad.</w:t>
      </w:r>
    </w:p>
    <w:p w:rsidR="00A77491" w:rsidRDefault="00A77491" w:rsidP="00477F96">
      <w:pPr>
        <w:spacing w:after="0" w:line="240" w:lineRule="auto"/>
        <w:rPr>
          <w:rFonts w:ascii="Times New Roman" w:hAnsi="Times New Roman" w:cs="Times New Roman"/>
          <w:sz w:val="24"/>
          <w:szCs w:val="24"/>
        </w:rPr>
      </w:pPr>
    </w:p>
    <w:p w:rsidR="00CD4514" w:rsidRPr="00FE4C48" w:rsidRDefault="00FE4C48" w:rsidP="00317FB8">
      <w:pPr>
        <w:spacing w:after="0" w:line="240" w:lineRule="auto"/>
        <w:rPr>
          <w:rFonts w:ascii="Times New Roman" w:hAnsi="Times New Roman" w:cs="Times New Roman"/>
          <w:sz w:val="24"/>
          <w:szCs w:val="24"/>
          <w:rtl/>
        </w:rPr>
      </w:pPr>
      <w:proofErr w:type="gramStart"/>
      <w:r>
        <w:rPr>
          <w:rFonts w:ascii="Times New Roman" w:hAnsi="Times New Roman" w:cs="Times New Roman"/>
          <w:b/>
          <w:bCs/>
          <w:sz w:val="24"/>
          <w:szCs w:val="24"/>
          <w:lang w:val="en-US"/>
        </w:rPr>
        <w:t>1.2.5</w:t>
      </w:r>
      <w:r w:rsidR="00A77491">
        <w:rPr>
          <w:rFonts w:ascii="Times New Roman" w:hAnsi="Times New Roman" w:cs="Times New Roman"/>
          <w:b/>
          <w:bCs/>
          <w:sz w:val="24"/>
          <w:szCs w:val="24"/>
          <w:lang w:val="en-US"/>
        </w:rPr>
        <w:t xml:space="preserve">  </w:t>
      </w:r>
      <w:r w:rsidR="007C22AA">
        <w:rPr>
          <w:rFonts w:ascii="Times New Roman" w:hAnsi="Times New Roman" w:cs="Times New Roman"/>
          <w:b/>
          <w:bCs/>
          <w:sz w:val="24"/>
          <w:szCs w:val="24"/>
          <w:lang w:val="en-US"/>
        </w:rPr>
        <w:t>Wages</w:t>
      </w:r>
      <w:proofErr w:type="gramEnd"/>
      <w:r w:rsidR="007C22AA">
        <w:rPr>
          <w:rFonts w:ascii="Times New Roman" w:hAnsi="Times New Roman" w:cs="Times New Roman"/>
          <w:b/>
          <w:bCs/>
          <w:sz w:val="24"/>
          <w:szCs w:val="24"/>
          <w:lang w:val="en-US"/>
        </w:rPr>
        <w:t xml:space="preserve"> for Employed </w:t>
      </w:r>
      <w:r w:rsidR="00317FB8">
        <w:rPr>
          <w:rFonts w:ascii="Times New Roman" w:hAnsi="Times New Roman" w:cs="Times New Roman"/>
          <w:b/>
          <w:bCs/>
          <w:sz w:val="24"/>
          <w:szCs w:val="24"/>
          <w:lang w:val="en-US"/>
        </w:rPr>
        <w:t>P</w:t>
      </w:r>
      <w:r w:rsidR="007C22AA">
        <w:rPr>
          <w:rFonts w:ascii="Times New Roman" w:hAnsi="Times New Roman" w:cs="Times New Roman"/>
          <w:b/>
          <w:bCs/>
          <w:sz w:val="24"/>
          <w:szCs w:val="24"/>
          <w:lang w:val="en-US"/>
        </w:rPr>
        <w:t>ersons</w:t>
      </w:r>
      <w:r w:rsidR="00CD4514" w:rsidRPr="00FE4C48">
        <w:rPr>
          <w:rFonts w:ascii="Times New Roman" w:hAnsi="Times New Roman" w:cs="Times New Roman"/>
          <w:b/>
          <w:bCs/>
          <w:sz w:val="24"/>
          <w:szCs w:val="24"/>
          <w:lang w:val="en-US"/>
        </w:rPr>
        <w:t xml:space="preserve"> in Palestine</w:t>
      </w:r>
    </w:p>
    <w:p w:rsidR="00CD4514" w:rsidRPr="00477F96" w:rsidRDefault="00CD4514" w:rsidP="00CB7DEE">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average re</w:t>
      </w:r>
      <w:r w:rsidR="00CB7DEE">
        <w:rPr>
          <w:rFonts w:ascii="Times New Roman" w:hAnsi="Times New Roman" w:cs="Times New Roman"/>
          <w:b/>
          <w:bCs/>
          <w:sz w:val="24"/>
          <w:szCs w:val="24"/>
        </w:rPr>
        <w:t>al daily wage for wage employed persons</w:t>
      </w:r>
      <w:r w:rsidRPr="00477F96">
        <w:rPr>
          <w:rFonts w:ascii="Times New Roman" w:hAnsi="Times New Roman" w:cs="Times New Roman"/>
          <w:b/>
          <w:bCs/>
          <w:sz w:val="24"/>
          <w:szCs w:val="24"/>
        </w:rPr>
        <w:t xml:space="preserve"> in Palestine in information and communications activities increased by 19.1%, compared to 2017, reaching NIS 121.2, </w:t>
      </w:r>
      <w:r w:rsidRPr="00477F96">
        <w:rPr>
          <w:rFonts w:ascii="Times New Roman" w:hAnsi="Times New Roman" w:cs="Times New Roman"/>
          <w:b/>
          <w:bCs/>
          <w:sz w:val="24"/>
          <w:szCs w:val="24"/>
        </w:rPr>
        <w:lastRenderedPageBreak/>
        <w:t xml:space="preserve">this is the highest in economic activities, </w:t>
      </w:r>
      <w:r w:rsidRPr="00477F96">
        <w:rPr>
          <w:rFonts w:ascii="Times New Roman" w:hAnsi="Times New Roman" w:cs="Times New Roman"/>
          <w:sz w:val="24"/>
          <w:szCs w:val="24"/>
        </w:rPr>
        <w:t>followed by average real daily wage for wage empl</w:t>
      </w:r>
      <w:r w:rsidR="00CB7DEE">
        <w:rPr>
          <w:rFonts w:ascii="Times New Roman" w:hAnsi="Times New Roman" w:cs="Times New Roman"/>
          <w:sz w:val="24"/>
          <w:szCs w:val="24"/>
        </w:rPr>
        <w:t>oyed persons</w:t>
      </w:r>
      <w:r w:rsidRPr="00477F96">
        <w:rPr>
          <w:rFonts w:ascii="Times New Roman" w:hAnsi="Times New Roman" w:cs="Times New Roman"/>
          <w:sz w:val="24"/>
          <w:szCs w:val="24"/>
        </w:rPr>
        <w:t xml:space="preserve"> in construction activities which increased to NIS 95.2.  The average re</w:t>
      </w:r>
      <w:r w:rsidR="00CB7DEE">
        <w:rPr>
          <w:rFonts w:ascii="Times New Roman" w:hAnsi="Times New Roman" w:cs="Times New Roman"/>
          <w:sz w:val="24"/>
          <w:szCs w:val="24"/>
        </w:rPr>
        <w:t>al daily wage for wage employed persons</w:t>
      </w:r>
      <w:r w:rsidRPr="00477F96">
        <w:rPr>
          <w:rFonts w:ascii="Times New Roman" w:hAnsi="Times New Roman" w:cs="Times New Roman"/>
          <w:sz w:val="24"/>
          <w:szCs w:val="24"/>
        </w:rPr>
        <w:t xml:space="preserve"> varied between the West Bank and Gaza Strip in 2018, it reached for information and communications activities NIS 132.7 in the West Bank compared to NIS 82.8 in Gaza Strip, and for construction NIS 99.5 in the West Bank compared to NIS 41.7 in Gaza Strip. (See table 5).  </w:t>
      </w:r>
    </w:p>
    <w:p w:rsidR="00CD4514" w:rsidRPr="008A63DE" w:rsidRDefault="00CD4514" w:rsidP="00477F96">
      <w:pPr>
        <w:spacing w:after="0" w:line="240" w:lineRule="auto"/>
        <w:jc w:val="both"/>
        <w:rPr>
          <w:rFonts w:ascii="Times New Roman" w:hAnsi="Times New Roman" w:cs="Times New Roman"/>
          <w:sz w:val="28"/>
          <w:szCs w:val="28"/>
        </w:rPr>
      </w:pPr>
    </w:p>
    <w:p w:rsidR="00CD4514" w:rsidRPr="00A77491" w:rsidRDefault="00CD4514" w:rsidP="00477F96">
      <w:pPr>
        <w:spacing w:after="0" w:line="240" w:lineRule="auto"/>
        <w:jc w:val="center"/>
        <w:rPr>
          <w:rFonts w:ascii="Arial" w:hAnsi="Arial" w:cs="Arial"/>
          <w:b/>
          <w:bCs/>
        </w:rPr>
      </w:pPr>
      <w:r w:rsidRPr="00A77491">
        <w:rPr>
          <w:rFonts w:ascii="Arial" w:hAnsi="Arial" w:cs="Arial"/>
          <w:b/>
          <w:bCs/>
        </w:rPr>
        <w:t>Table 5: Average real daily wage* by econ</w:t>
      </w:r>
      <w:r w:rsidR="00EF105D" w:rsidRPr="00A77491">
        <w:rPr>
          <w:rFonts w:ascii="Arial" w:hAnsi="Arial" w:cs="Arial"/>
          <w:b/>
          <w:bCs/>
        </w:rPr>
        <w:t>omic activity and region, 2013-</w:t>
      </w:r>
      <w:r w:rsidRPr="00A77491">
        <w:rPr>
          <w:rFonts w:ascii="Arial" w:hAnsi="Arial" w:cs="Arial"/>
          <w:b/>
          <w:bCs/>
        </w:rPr>
        <w:t>2018</w:t>
      </w:r>
    </w:p>
    <w:p w:rsidR="00CD4514" w:rsidRPr="00A77491" w:rsidRDefault="00CD4514" w:rsidP="00477F96">
      <w:pPr>
        <w:spacing w:after="0" w:line="240" w:lineRule="auto"/>
        <w:rPr>
          <w:rFonts w:ascii="Arial" w:hAnsi="Arial" w:cs="Arial"/>
          <w:b/>
          <w:bCs/>
          <w:sz w:val="10"/>
          <w:szCs w:val="10"/>
        </w:rPr>
      </w:pPr>
    </w:p>
    <w:p w:rsidR="00CD4514" w:rsidRPr="00A77491" w:rsidRDefault="00CD4514" w:rsidP="00477F96">
      <w:pPr>
        <w:spacing w:after="0" w:line="240" w:lineRule="auto"/>
        <w:rPr>
          <w:rFonts w:ascii="Arial" w:hAnsi="Arial" w:cs="Arial"/>
          <w:b/>
          <w:bCs/>
        </w:rPr>
      </w:pPr>
      <w:r w:rsidRPr="00A77491">
        <w:rPr>
          <w:rFonts w:ascii="Arial" w:hAnsi="Arial" w:cs="Arial"/>
          <w:sz w:val="18"/>
          <w:szCs w:val="18"/>
        </w:rPr>
        <w:t>Value in Israeli Shekel</w:t>
      </w:r>
    </w:p>
    <w:tbl>
      <w:tblPr>
        <w:tblW w:w="9072" w:type="dxa"/>
        <w:jc w:val="center"/>
        <w:tblBorders>
          <w:top w:val="single" w:sz="12" w:space="0" w:color="auto"/>
          <w:bottom w:val="single" w:sz="12" w:space="0" w:color="auto"/>
        </w:tblBorders>
        <w:tblLook w:val="04A0"/>
      </w:tblPr>
      <w:tblGrid>
        <w:gridCol w:w="3015"/>
        <w:gridCol w:w="1009"/>
        <w:gridCol w:w="1009"/>
        <w:gridCol w:w="1009"/>
        <w:gridCol w:w="1009"/>
        <w:gridCol w:w="1009"/>
        <w:gridCol w:w="1012"/>
      </w:tblGrid>
      <w:tr w:rsidR="00CD4514" w:rsidRPr="00A77491" w:rsidTr="00CB7DEE">
        <w:trPr>
          <w:trHeight w:val="340"/>
          <w:jc w:val="center"/>
        </w:trPr>
        <w:tc>
          <w:tcPr>
            <w:tcW w:w="1662" w:type="pct"/>
            <w:tcBorders>
              <w:top w:val="single" w:sz="12" w:space="0" w:color="auto"/>
              <w:bottom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center"/>
              <w:rPr>
                <w:rFonts w:ascii="Arial" w:hAnsi="Arial" w:cs="Arial"/>
                <w:b/>
                <w:bCs/>
                <w:sz w:val="18"/>
                <w:szCs w:val="18"/>
              </w:rPr>
            </w:pPr>
            <w:r w:rsidRPr="006045BF">
              <w:rPr>
                <w:rFonts w:ascii="Arial" w:hAnsi="Arial" w:cs="Arial"/>
                <w:b/>
                <w:bCs/>
                <w:sz w:val="18"/>
                <w:szCs w:val="18"/>
              </w:rPr>
              <w:t>Economic Activity</w:t>
            </w:r>
          </w:p>
        </w:tc>
        <w:tc>
          <w:tcPr>
            <w:tcW w:w="556" w:type="pct"/>
            <w:tcBorders>
              <w:top w:val="single" w:sz="12" w:space="0" w:color="auto"/>
              <w:bottom w:val="single" w:sz="12" w:space="0" w:color="auto"/>
            </w:tcBorders>
            <w:shd w:val="clear" w:color="auto" w:fill="auto"/>
            <w:vAlign w:val="center"/>
            <w:hideMark/>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 xml:space="preserve">       2013</w:t>
            </w:r>
          </w:p>
        </w:tc>
        <w:tc>
          <w:tcPr>
            <w:tcW w:w="556" w:type="pct"/>
            <w:tcBorders>
              <w:top w:val="single" w:sz="12" w:space="0" w:color="auto"/>
              <w:bottom w:val="single" w:sz="12" w:space="0" w:color="auto"/>
            </w:tcBorders>
            <w:shd w:val="clear" w:color="auto" w:fill="auto"/>
            <w:vAlign w:val="center"/>
            <w:hideMark/>
          </w:tcPr>
          <w:p w:rsidR="00CD4514" w:rsidRPr="006045BF" w:rsidRDefault="00CD4514" w:rsidP="00477F96">
            <w:pPr>
              <w:pStyle w:val="BodyText3"/>
              <w:spacing w:after="0" w:line="240" w:lineRule="auto"/>
              <w:jc w:val="center"/>
              <w:rPr>
                <w:rFonts w:ascii="Arial" w:hAnsi="Arial" w:cs="Arial"/>
                <w:b/>
                <w:bCs/>
                <w:sz w:val="18"/>
                <w:szCs w:val="18"/>
                <w:lang w:val="en-US"/>
              </w:rPr>
            </w:pPr>
            <w:r w:rsidRPr="006045BF">
              <w:rPr>
                <w:rFonts w:ascii="Arial" w:hAnsi="Arial" w:cs="Arial"/>
                <w:b/>
                <w:bCs/>
                <w:sz w:val="18"/>
                <w:szCs w:val="18"/>
              </w:rPr>
              <w:t>2014</w:t>
            </w:r>
          </w:p>
        </w:tc>
        <w:tc>
          <w:tcPr>
            <w:tcW w:w="556" w:type="pct"/>
            <w:tcBorders>
              <w:top w:val="single" w:sz="12" w:space="0" w:color="auto"/>
              <w:bottom w:val="single" w:sz="12" w:space="0" w:color="auto"/>
            </w:tcBorders>
            <w:shd w:val="clear" w:color="auto" w:fill="auto"/>
            <w:vAlign w:val="center"/>
            <w:hideMark/>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2015</w:t>
            </w:r>
          </w:p>
        </w:tc>
        <w:tc>
          <w:tcPr>
            <w:tcW w:w="556" w:type="pct"/>
            <w:tcBorders>
              <w:top w:val="single" w:sz="12" w:space="0" w:color="auto"/>
              <w:bottom w:val="single" w:sz="12" w:space="0" w:color="auto"/>
            </w:tcBorders>
            <w:shd w:val="clear" w:color="auto" w:fill="auto"/>
            <w:vAlign w:val="center"/>
            <w:hideMark/>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2016</w:t>
            </w:r>
          </w:p>
        </w:tc>
        <w:tc>
          <w:tcPr>
            <w:tcW w:w="556" w:type="pct"/>
            <w:tcBorders>
              <w:top w:val="single" w:sz="12" w:space="0" w:color="auto"/>
              <w:bottom w:val="single" w:sz="12" w:space="0" w:color="auto"/>
            </w:tcBorders>
            <w:shd w:val="clear" w:color="auto" w:fill="auto"/>
            <w:vAlign w:val="center"/>
            <w:hideMark/>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2017</w:t>
            </w:r>
          </w:p>
        </w:tc>
        <w:tc>
          <w:tcPr>
            <w:tcW w:w="557" w:type="pct"/>
            <w:tcBorders>
              <w:top w:val="single" w:sz="12" w:space="0" w:color="auto"/>
              <w:bottom w:val="single" w:sz="12" w:space="0" w:color="auto"/>
            </w:tcBorders>
            <w:shd w:val="clear" w:color="auto" w:fill="auto"/>
            <w:vAlign w:val="center"/>
            <w:hideMark/>
          </w:tcPr>
          <w:p w:rsidR="00CD4514" w:rsidRPr="006045BF" w:rsidRDefault="00CD4514" w:rsidP="00477F96">
            <w:pPr>
              <w:pStyle w:val="BodyText3"/>
              <w:spacing w:after="0" w:line="240" w:lineRule="auto"/>
              <w:jc w:val="center"/>
              <w:rPr>
                <w:rFonts w:ascii="Arial" w:hAnsi="Arial" w:cs="Arial"/>
                <w:b/>
                <w:bCs/>
                <w:sz w:val="18"/>
                <w:szCs w:val="18"/>
              </w:rPr>
            </w:pPr>
            <w:r w:rsidRPr="006045BF">
              <w:rPr>
                <w:rFonts w:ascii="Arial" w:hAnsi="Arial" w:cs="Arial"/>
                <w:b/>
                <w:bCs/>
                <w:sz w:val="18"/>
                <w:szCs w:val="18"/>
              </w:rPr>
              <w:t>2018</w:t>
            </w:r>
          </w:p>
        </w:tc>
      </w:tr>
      <w:tr w:rsidR="00CD4514" w:rsidRPr="00A77491" w:rsidTr="00C06A78">
        <w:trPr>
          <w:trHeight w:val="340"/>
          <w:jc w:val="center"/>
        </w:trPr>
        <w:tc>
          <w:tcPr>
            <w:tcW w:w="5000" w:type="pct"/>
            <w:gridSpan w:val="7"/>
            <w:tcBorders>
              <w:top w:val="single" w:sz="12" w:space="0" w:color="auto"/>
              <w:bottom w:val="single" w:sz="12" w:space="0" w:color="auto"/>
            </w:tcBorders>
            <w:shd w:val="clear" w:color="000000" w:fill="BFBFBF"/>
            <w:vAlign w:val="center"/>
            <w:hideMark/>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Palestine</w:t>
            </w:r>
          </w:p>
        </w:tc>
      </w:tr>
      <w:tr w:rsidR="00CD4514" w:rsidRPr="00A77491" w:rsidTr="00CB7DEE">
        <w:trPr>
          <w:trHeight w:val="340"/>
          <w:jc w:val="center"/>
        </w:trPr>
        <w:tc>
          <w:tcPr>
            <w:tcW w:w="1662" w:type="pct"/>
            <w:tcBorders>
              <w:top w:val="single" w:sz="12" w:space="0" w:color="auto"/>
            </w:tcBorders>
            <w:shd w:val="clear" w:color="auto" w:fill="auto"/>
            <w:vAlign w:val="center"/>
            <w:hideMark/>
          </w:tcPr>
          <w:p w:rsidR="00CD4514" w:rsidRPr="006045BF" w:rsidRDefault="00CD4514" w:rsidP="00477F96">
            <w:pPr>
              <w:pStyle w:val="Footer"/>
              <w:tabs>
                <w:tab w:val="clear" w:pos="4153"/>
                <w:tab w:val="clear" w:pos="8306"/>
              </w:tabs>
              <w:rPr>
                <w:rFonts w:ascii="Arial" w:hAnsi="Arial" w:cs="Arial"/>
                <w:sz w:val="18"/>
                <w:szCs w:val="18"/>
              </w:rPr>
            </w:pPr>
            <w:r w:rsidRPr="006045BF">
              <w:rPr>
                <w:rFonts w:ascii="Arial" w:hAnsi="Arial" w:cs="Arial"/>
                <w:sz w:val="18"/>
                <w:szCs w:val="18"/>
              </w:rPr>
              <w:t>Agriculture</w:t>
            </w:r>
          </w:p>
        </w:tc>
        <w:tc>
          <w:tcPr>
            <w:tcW w:w="556" w:type="pct"/>
            <w:tcBorders>
              <w:top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37.0</w:t>
            </w:r>
          </w:p>
        </w:tc>
        <w:tc>
          <w:tcPr>
            <w:tcW w:w="556" w:type="pct"/>
            <w:tcBorders>
              <w:top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43.0</w:t>
            </w:r>
          </w:p>
        </w:tc>
        <w:tc>
          <w:tcPr>
            <w:tcW w:w="556" w:type="pct"/>
            <w:tcBorders>
              <w:top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45.9</w:t>
            </w:r>
          </w:p>
        </w:tc>
        <w:tc>
          <w:tcPr>
            <w:tcW w:w="556" w:type="pct"/>
            <w:tcBorders>
              <w:top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44.7</w:t>
            </w:r>
          </w:p>
        </w:tc>
        <w:tc>
          <w:tcPr>
            <w:tcW w:w="556" w:type="pct"/>
            <w:tcBorders>
              <w:top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44.3</w:t>
            </w:r>
          </w:p>
        </w:tc>
        <w:tc>
          <w:tcPr>
            <w:tcW w:w="557" w:type="pct"/>
            <w:tcBorders>
              <w:top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47.0</w:t>
            </w:r>
          </w:p>
        </w:tc>
      </w:tr>
      <w:tr w:rsidR="00CD4514" w:rsidRPr="00A77491" w:rsidTr="00CB7DEE">
        <w:trPr>
          <w:trHeight w:val="340"/>
          <w:jc w:val="center"/>
        </w:trPr>
        <w:tc>
          <w:tcPr>
            <w:tcW w:w="1662" w:type="pct"/>
            <w:shd w:val="clear" w:color="auto" w:fill="auto"/>
            <w:vAlign w:val="center"/>
            <w:hideMark/>
          </w:tcPr>
          <w:p w:rsidR="00CD4514" w:rsidRPr="006045BF" w:rsidRDefault="00CD4514" w:rsidP="00477F96">
            <w:pPr>
              <w:pStyle w:val="Footer"/>
              <w:tabs>
                <w:tab w:val="clear" w:pos="4153"/>
                <w:tab w:val="clear" w:pos="8306"/>
              </w:tabs>
              <w:rPr>
                <w:rFonts w:ascii="Arial" w:hAnsi="Arial" w:cs="Arial"/>
                <w:sz w:val="18"/>
                <w:szCs w:val="18"/>
              </w:rPr>
            </w:pPr>
            <w:r w:rsidRPr="006045BF">
              <w:rPr>
                <w:rFonts w:ascii="Arial" w:hAnsi="Arial" w:cs="Arial"/>
                <w:sz w:val="18"/>
                <w:szCs w:val="18"/>
              </w:rPr>
              <w:t>Industry</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62.8</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64.3</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64.9</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66.9</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69.2</w:t>
            </w:r>
          </w:p>
        </w:tc>
        <w:tc>
          <w:tcPr>
            <w:tcW w:w="557"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73.0</w:t>
            </w:r>
          </w:p>
        </w:tc>
      </w:tr>
      <w:tr w:rsidR="00CD4514" w:rsidRPr="00A77491" w:rsidTr="00CB7DEE">
        <w:trPr>
          <w:trHeight w:val="340"/>
          <w:jc w:val="center"/>
        </w:trPr>
        <w:tc>
          <w:tcPr>
            <w:tcW w:w="1662" w:type="pct"/>
            <w:shd w:val="clear" w:color="auto" w:fill="auto"/>
            <w:vAlign w:val="center"/>
            <w:hideMark/>
          </w:tcPr>
          <w:p w:rsidR="00CD4514" w:rsidRPr="006045BF" w:rsidRDefault="00CD4514" w:rsidP="00477F96">
            <w:pPr>
              <w:pStyle w:val="Footer"/>
              <w:tabs>
                <w:tab w:val="clear" w:pos="4153"/>
                <w:tab w:val="clear" w:pos="8306"/>
              </w:tabs>
              <w:rPr>
                <w:rFonts w:ascii="Arial" w:hAnsi="Arial" w:cs="Arial"/>
                <w:sz w:val="18"/>
                <w:szCs w:val="18"/>
              </w:rPr>
            </w:pPr>
            <w:r w:rsidRPr="006045BF">
              <w:rPr>
                <w:rFonts w:ascii="Arial" w:hAnsi="Arial" w:cs="Arial"/>
                <w:sz w:val="18"/>
                <w:szCs w:val="18"/>
              </w:rPr>
              <w:t>Construction</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73.8</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82.3</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76.2</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82.5</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86.7</w:t>
            </w:r>
          </w:p>
        </w:tc>
        <w:tc>
          <w:tcPr>
            <w:tcW w:w="557"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95.2</w:t>
            </w:r>
          </w:p>
        </w:tc>
      </w:tr>
      <w:tr w:rsidR="00CD4514" w:rsidRPr="00A77491" w:rsidTr="00CB7DEE">
        <w:trPr>
          <w:trHeight w:val="340"/>
          <w:jc w:val="center"/>
        </w:trPr>
        <w:tc>
          <w:tcPr>
            <w:tcW w:w="1662" w:type="pct"/>
            <w:shd w:val="clear" w:color="auto" w:fill="auto"/>
            <w:vAlign w:val="center"/>
            <w:hideMark/>
          </w:tcPr>
          <w:p w:rsidR="00CD4514" w:rsidRPr="006045BF" w:rsidRDefault="00CD4514" w:rsidP="00CB7DEE">
            <w:pPr>
              <w:pStyle w:val="Footer"/>
              <w:tabs>
                <w:tab w:val="clear" w:pos="4153"/>
                <w:tab w:val="clear" w:pos="8306"/>
              </w:tabs>
              <w:rPr>
                <w:rFonts w:ascii="Arial" w:hAnsi="Arial" w:cs="Arial"/>
                <w:sz w:val="18"/>
                <w:szCs w:val="18"/>
              </w:rPr>
            </w:pPr>
            <w:r w:rsidRPr="006045BF">
              <w:rPr>
                <w:rFonts w:ascii="Arial" w:hAnsi="Arial" w:cs="Arial"/>
                <w:sz w:val="18"/>
                <w:szCs w:val="18"/>
              </w:rPr>
              <w:t xml:space="preserve">Wholesale and </w:t>
            </w:r>
            <w:r w:rsidR="00CB7DEE" w:rsidRPr="006045BF">
              <w:rPr>
                <w:rFonts w:ascii="Arial" w:hAnsi="Arial" w:cs="Arial"/>
                <w:sz w:val="18"/>
                <w:szCs w:val="18"/>
              </w:rPr>
              <w:t>R</w:t>
            </w:r>
            <w:r w:rsidRPr="006045BF">
              <w:rPr>
                <w:rFonts w:ascii="Arial" w:hAnsi="Arial" w:cs="Arial"/>
                <w:sz w:val="18"/>
                <w:szCs w:val="18"/>
              </w:rPr>
              <w:t xml:space="preserve">etail </w:t>
            </w:r>
            <w:r w:rsidR="00CB7DEE" w:rsidRPr="006045BF">
              <w:rPr>
                <w:rFonts w:ascii="Arial" w:hAnsi="Arial" w:cs="Arial"/>
                <w:sz w:val="18"/>
                <w:szCs w:val="18"/>
              </w:rPr>
              <w:t>T</w:t>
            </w:r>
            <w:r w:rsidRPr="006045BF">
              <w:rPr>
                <w:rFonts w:ascii="Arial" w:hAnsi="Arial" w:cs="Arial"/>
                <w:sz w:val="18"/>
                <w:szCs w:val="18"/>
              </w:rPr>
              <w:t>rade</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53.9</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55.3</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49.8</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50.6</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53.0</w:t>
            </w:r>
          </w:p>
        </w:tc>
        <w:tc>
          <w:tcPr>
            <w:tcW w:w="557"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59.1</w:t>
            </w:r>
          </w:p>
        </w:tc>
      </w:tr>
      <w:tr w:rsidR="00CD4514" w:rsidRPr="00A77491" w:rsidTr="00CB7DEE">
        <w:trPr>
          <w:trHeight w:val="340"/>
          <w:jc w:val="center"/>
        </w:trPr>
        <w:tc>
          <w:tcPr>
            <w:tcW w:w="1662" w:type="pct"/>
            <w:shd w:val="clear" w:color="auto" w:fill="auto"/>
            <w:vAlign w:val="center"/>
            <w:hideMark/>
          </w:tcPr>
          <w:p w:rsidR="00CD4514" w:rsidRPr="006045BF" w:rsidRDefault="00CD4514" w:rsidP="00CB7DEE">
            <w:pPr>
              <w:pStyle w:val="Footer"/>
              <w:tabs>
                <w:tab w:val="clear" w:pos="4153"/>
                <w:tab w:val="clear" w:pos="8306"/>
              </w:tabs>
              <w:rPr>
                <w:rFonts w:ascii="Arial" w:hAnsi="Arial" w:cs="Arial"/>
                <w:sz w:val="18"/>
                <w:szCs w:val="18"/>
                <w:rtl/>
              </w:rPr>
            </w:pPr>
            <w:r w:rsidRPr="006045BF">
              <w:rPr>
                <w:rFonts w:ascii="Arial" w:hAnsi="Arial" w:cs="Arial"/>
                <w:sz w:val="18"/>
                <w:szCs w:val="18"/>
              </w:rPr>
              <w:t xml:space="preserve">Transportation and </w:t>
            </w:r>
            <w:r w:rsidR="00CB7DEE" w:rsidRPr="006045BF">
              <w:rPr>
                <w:rFonts w:ascii="Arial" w:hAnsi="Arial" w:cs="Arial"/>
                <w:sz w:val="18"/>
                <w:szCs w:val="18"/>
              </w:rPr>
              <w:t>S</w:t>
            </w:r>
            <w:r w:rsidRPr="006045BF">
              <w:rPr>
                <w:rFonts w:ascii="Arial" w:hAnsi="Arial" w:cs="Arial"/>
                <w:sz w:val="18"/>
                <w:szCs w:val="18"/>
              </w:rPr>
              <w:t xml:space="preserve">torage </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48.6</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44.9</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39.3</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41.3</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38.4</w:t>
            </w:r>
          </w:p>
        </w:tc>
        <w:tc>
          <w:tcPr>
            <w:tcW w:w="557"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35.4</w:t>
            </w:r>
          </w:p>
        </w:tc>
      </w:tr>
      <w:tr w:rsidR="00CD4514" w:rsidRPr="00A77491" w:rsidTr="00CB7DEE">
        <w:trPr>
          <w:trHeight w:val="340"/>
          <w:jc w:val="center"/>
        </w:trPr>
        <w:tc>
          <w:tcPr>
            <w:tcW w:w="1662" w:type="pct"/>
            <w:shd w:val="clear" w:color="auto" w:fill="auto"/>
            <w:vAlign w:val="center"/>
            <w:hideMark/>
          </w:tcPr>
          <w:p w:rsidR="00CD4514" w:rsidRPr="006045BF" w:rsidRDefault="00CD4514" w:rsidP="00CB7DEE">
            <w:pPr>
              <w:pStyle w:val="Footer"/>
              <w:tabs>
                <w:tab w:val="clear" w:pos="4153"/>
                <w:tab w:val="clear" w:pos="8306"/>
              </w:tabs>
              <w:rPr>
                <w:rFonts w:ascii="Arial" w:hAnsi="Arial" w:cs="Arial"/>
                <w:sz w:val="18"/>
                <w:szCs w:val="18"/>
              </w:rPr>
            </w:pPr>
            <w:r w:rsidRPr="006045BF">
              <w:rPr>
                <w:rFonts w:ascii="Arial" w:hAnsi="Arial" w:cs="Arial"/>
                <w:sz w:val="18"/>
                <w:szCs w:val="18"/>
              </w:rPr>
              <w:t xml:space="preserve">Information and </w:t>
            </w:r>
            <w:r w:rsidR="00CB7DEE" w:rsidRPr="006045BF">
              <w:rPr>
                <w:rFonts w:ascii="Arial" w:hAnsi="Arial" w:cs="Arial"/>
                <w:sz w:val="18"/>
                <w:szCs w:val="18"/>
              </w:rPr>
              <w:t>C</w:t>
            </w:r>
            <w:r w:rsidRPr="006045BF">
              <w:rPr>
                <w:rFonts w:ascii="Arial" w:hAnsi="Arial" w:cs="Arial"/>
                <w:sz w:val="18"/>
                <w:szCs w:val="18"/>
              </w:rPr>
              <w:t>ommunications</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91.2</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95.7</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108.4</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97.8</w:t>
            </w:r>
          </w:p>
        </w:tc>
        <w:tc>
          <w:tcPr>
            <w:tcW w:w="556"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101.8</w:t>
            </w:r>
          </w:p>
        </w:tc>
        <w:tc>
          <w:tcPr>
            <w:tcW w:w="557" w:type="pct"/>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121.2</w:t>
            </w:r>
          </w:p>
        </w:tc>
      </w:tr>
      <w:tr w:rsidR="00CD4514" w:rsidRPr="00A77491" w:rsidTr="00CB7DEE">
        <w:trPr>
          <w:trHeight w:val="340"/>
          <w:jc w:val="center"/>
        </w:trPr>
        <w:tc>
          <w:tcPr>
            <w:tcW w:w="1662" w:type="pct"/>
            <w:tcBorders>
              <w:bottom w:val="single" w:sz="12" w:space="0" w:color="auto"/>
            </w:tcBorders>
            <w:shd w:val="clear" w:color="auto" w:fill="auto"/>
            <w:vAlign w:val="center"/>
            <w:hideMark/>
          </w:tcPr>
          <w:p w:rsidR="00CD4514" w:rsidRPr="006045BF" w:rsidRDefault="00CD4514" w:rsidP="00CB7DEE">
            <w:pPr>
              <w:pStyle w:val="Footer"/>
              <w:tabs>
                <w:tab w:val="clear" w:pos="4153"/>
                <w:tab w:val="clear" w:pos="8306"/>
              </w:tabs>
              <w:rPr>
                <w:rFonts w:ascii="Arial" w:hAnsi="Arial" w:cs="Arial"/>
                <w:sz w:val="18"/>
                <w:szCs w:val="18"/>
              </w:rPr>
            </w:pPr>
            <w:r w:rsidRPr="006045BF">
              <w:rPr>
                <w:rFonts w:ascii="Arial" w:hAnsi="Arial" w:cs="Arial"/>
                <w:sz w:val="18"/>
                <w:szCs w:val="18"/>
              </w:rPr>
              <w:t xml:space="preserve">Services and </w:t>
            </w:r>
            <w:r w:rsidR="00CB7DEE" w:rsidRPr="006045BF">
              <w:rPr>
                <w:rFonts w:ascii="Arial" w:hAnsi="Arial" w:cs="Arial"/>
                <w:sz w:val="18"/>
                <w:szCs w:val="18"/>
              </w:rPr>
              <w:t>O</w:t>
            </w:r>
            <w:r w:rsidRPr="006045BF">
              <w:rPr>
                <w:rFonts w:ascii="Arial" w:hAnsi="Arial" w:cs="Arial"/>
                <w:sz w:val="18"/>
                <w:szCs w:val="18"/>
              </w:rPr>
              <w:t xml:space="preserve">ther </w:t>
            </w:r>
            <w:r w:rsidR="00CB7DEE" w:rsidRPr="006045BF">
              <w:rPr>
                <w:rFonts w:ascii="Arial" w:hAnsi="Arial" w:cs="Arial"/>
                <w:sz w:val="18"/>
                <w:szCs w:val="18"/>
              </w:rPr>
              <w:t>B</w:t>
            </w:r>
            <w:r w:rsidRPr="006045BF">
              <w:rPr>
                <w:rFonts w:ascii="Arial" w:hAnsi="Arial" w:cs="Arial"/>
                <w:sz w:val="18"/>
                <w:szCs w:val="18"/>
              </w:rPr>
              <w:t xml:space="preserve">ranches**                                                                         </w:t>
            </w:r>
          </w:p>
        </w:tc>
        <w:tc>
          <w:tcPr>
            <w:tcW w:w="556" w:type="pct"/>
            <w:tcBorders>
              <w:bottom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87.6</w:t>
            </w:r>
          </w:p>
        </w:tc>
        <w:tc>
          <w:tcPr>
            <w:tcW w:w="556" w:type="pct"/>
            <w:tcBorders>
              <w:bottom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85.2</w:t>
            </w:r>
          </w:p>
        </w:tc>
        <w:tc>
          <w:tcPr>
            <w:tcW w:w="556" w:type="pct"/>
            <w:tcBorders>
              <w:bottom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86.3</w:t>
            </w:r>
          </w:p>
        </w:tc>
        <w:tc>
          <w:tcPr>
            <w:tcW w:w="556" w:type="pct"/>
            <w:tcBorders>
              <w:bottom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88.7</w:t>
            </w:r>
          </w:p>
        </w:tc>
        <w:tc>
          <w:tcPr>
            <w:tcW w:w="556" w:type="pct"/>
            <w:tcBorders>
              <w:bottom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89.9</w:t>
            </w:r>
          </w:p>
        </w:tc>
        <w:tc>
          <w:tcPr>
            <w:tcW w:w="557" w:type="pct"/>
            <w:tcBorders>
              <w:bottom w:val="single" w:sz="12" w:space="0" w:color="auto"/>
            </w:tcBorders>
            <w:shd w:val="clear" w:color="auto" w:fill="auto"/>
            <w:vAlign w:val="center"/>
            <w:hideMark/>
          </w:tcPr>
          <w:p w:rsidR="00CD4514" w:rsidRPr="006045BF" w:rsidRDefault="00CD4514"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92.4</w:t>
            </w:r>
          </w:p>
        </w:tc>
      </w:tr>
      <w:tr w:rsidR="00CD4514" w:rsidRPr="00A77491" w:rsidTr="00C06A78">
        <w:trPr>
          <w:trHeight w:val="340"/>
          <w:jc w:val="center"/>
        </w:trPr>
        <w:tc>
          <w:tcPr>
            <w:tcW w:w="5000" w:type="pct"/>
            <w:gridSpan w:val="7"/>
            <w:tcBorders>
              <w:top w:val="single" w:sz="12" w:space="0" w:color="auto"/>
              <w:bottom w:val="single" w:sz="12" w:space="0" w:color="auto"/>
            </w:tcBorders>
            <w:shd w:val="clear" w:color="000000" w:fill="BFBFBF"/>
            <w:vAlign w:val="center"/>
            <w:hideMark/>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West Bank</w:t>
            </w:r>
          </w:p>
        </w:tc>
      </w:tr>
      <w:tr w:rsidR="00CB7DEE" w:rsidRPr="00A77491" w:rsidTr="00CB7DEE">
        <w:trPr>
          <w:trHeight w:val="340"/>
          <w:jc w:val="center"/>
        </w:trPr>
        <w:tc>
          <w:tcPr>
            <w:tcW w:w="1662" w:type="pct"/>
            <w:tcBorders>
              <w:top w:val="single" w:sz="12" w:space="0" w:color="auto"/>
            </w:tcBorders>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Agriculture</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52.4</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55.1</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62.3</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62.2</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65.2</w:t>
            </w:r>
          </w:p>
        </w:tc>
        <w:tc>
          <w:tcPr>
            <w:tcW w:w="557"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73.1</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Industry</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66.2</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67.1</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70.3</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73.3</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75.8</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79.1</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Construction</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81.4</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82.1</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82.2</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92.3</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96.0</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99.5</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Wholesale and Retail Trade</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63.4</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66.3</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62.3</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65.6</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68.6</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76.1</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tl/>
              </w:rPr>
            </w:pPr>
            <w:r w:rsidRPr="006045BF">
              <w:rPr>
                <w:rFonts w:ascii="Arial" w:hAnsi="Arial" w:cs="Arial"/>
                <w:sz w:val="18"/>
                <w:szCs w:val="18"/>
              </w:rPr>
              <w:t xml:space="preserve">Transportation and Storage </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73.2</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75.6</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73.8</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76.8</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85.2</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86.1</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Information and Communications</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97.2</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107.9</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125.7</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105.0</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117.1</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132.7</w:t>
            </w:r>
          </w:p>
        </w:tc>
      </w:tr>
      <w:tr w:rsidR="00CB7DEE" w:rsidRPr="00A77491" w:rsidTr="00CB7DEE">
        <w:trPr>
          <w:trHeight w:val="340"/>
          <w:jc w:val="center"/>
        </w:trPr>
        <w:tc>
          <w:tcPr>
            <w:tcW w:w="1662" w:type="pct"/>
            <w:tcBorders>
              <w:bottom w:val="single" w:sz="12" w:space="0" w:color="auto"/>
            </w:tcBorders>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 xml:space="preserve">Services and Other Branches**                                                                         </w:t>
            </w:r>
          </w:p>
        </w:tc>
        <w:tc>
          <w:tcPr>
            <w:tcW w:w="556" w:type="pct"/>
            <w:tcBorders>
              <w:bottom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90.5</w:t>
            </w:r>
          </w:p>
        </w:tc>
        <w:tc>
          <w:tcPr>
            <w:tcW w:w="556" w:type="pct"/>
            <w:tcBorders>
              <w:bottom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89.6</w:t>
            </w:r>
          </w:p>
        </w:tc>
        <w:tc>
          <w:tcPr>
            <w:tcW w:w="556" w:type="pct"/>
            <w:tcBorders>
              <w:bottom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92.4</w:t>
            </w:r>
          </w:p>
        </w:tc>
        <w:tc>
          <w:tcPr>
            <w:tcW w:w="556" w:type="pct"/>
            <w:tcBorders>
              <w:bottom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94.9</w:t>
            </w:r>
          </w:p>
        </w:tc>
        <w:tc>
          <w:tcPr>
            <w:tcW w:w="556" w:type="pct"/>
            <w:tcBorders>
              <w:bottom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97.3</w:t>
            </w:r>
          </w:p>
        </w:tc>
        <w:tc>
          <w:tcPr>
            <w:tcW w:w="557" w:type="pct"/>
            <w:tcBorders>
              <w:bottom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tl/>
              </w:rPr>
              <w:t>97.8</w:t>
            </w:r>
          </w:p>
        </w:tc>
      </w:tr>
      <w:tr w:rsidR="00CD4514" w:rsidRPr="00A77491" w:rsidTr="00C06A78">
        <w:trPr>
          <w:trHeight w:val="340"/>
          <w:jc w:val="center"/>
        </w:trPr>
        <w:tc>
          <w:tcPr>
            <w:tcW w:w="5000" w:type="pct"/>
            <w:gridSpan w:val="7"/>
            <w:tcBorders>
              <w:top w:val="single" w:sz="12" w:space="0" w:color="auto"/>
              <w:bottom w:val="single" w:sz="12" w:space="0" w:color="auto"/>
            </w:tcBorders>
            <w:shd w:val="clear" w:color="000000" w:fill="BFBFBF"/>
            <w:vAlign w:val="center"/>
            <w:hideMark/>
          </w:tcPr>
          <w:p w:rsidR="00CD4514" w:rsidRPr="006045BF" w:rsidRDefault="00CD4514" w:rsidP="00477F96">
            <w:pPr>
              <w:spacing w:after="0" w:line="240" w:lineRule="auto"/>
              <w:jc w:val="center"/>
              <w:rPr>
                <w:rFonts w:ascii="Arial" w:hAnsi="Arial" w:cs="Arial"/>
                <w:b/>
                <w:bCs/>
                <w:sz w:val="18"/>
                <w:szCs w:val="18"/>
              </w:rPr>
            </w:pPr>
            <w:r w:rsidRPr="006045BF">
              <w:rPr>
                <w:rFonts w:ascii="Arial" w:hAnsi="Arial" w:cs="Arial"/>
                <w:b/>
                <w:bCs/>
                <w:sz w:val="18"/>
                <w:szCs w:val="18"/>
              </w:rPr>
              <w:t>Gaza Strip</w:t>
            </w:r>
          </w:p>
        </w:tc>
      </w:tr>
      <w:tr w:rsidR="00CB7DEE" w:rsidRPr="00A77491" w:rsidTr="00CB7DEE">
        <w:trPr>
          <w:trHeight w:val="340"/>
          <w:jc w:val="center"/>
        </w:trPr>
        <w:tc>
          <w:tcPr>
            <w:tcW w:w="1662" w:type="pct"/>
            <w:tcBorders>
              <w:top w:val="single" w:sz="12" w:space="0" w:color="auto"/>
            </w:tcBorders>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Agriculture</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23.0</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23.7</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23.7</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25.0</w:t>
            </w:r>
          </w:p>
        </w:tc>
        <w:tc>
          <w:tcPr>
            <w:tcW w:w="556"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24.0</w:t>
            </w:r>
          </w:p>
        </w:tc>
        <w:tc>
          <w:tcPr>
            <w:tcW w:w="557" w:type="pct"/>
            <w:tcBorders>
              <w:top w:val="single" w:sz="12" w:space="0" w:color="auto"/>
            </w:tcBorders>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21.1</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Industry</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36.0</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32.1</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34.9</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33.4</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33.0</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30.3</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Construction</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48.3</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52.4</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40.4</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44.7</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41.7</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41.7</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Wholesale and Retail Trade</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32.1</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27.9</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28.5</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28.8</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29.5</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27.3</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tl/>
              </w:rPr>
            </w:pPr>
            <w:r w:rsidRPr="006045BF">
              <w:rPr>
                <w:rFonts w:ascii="Arial" w:hAnsi="Arial" w:cs="Arial"/>
                <w:sz w:val="18"/>
                <w:szCs w:val="18"/>
              </w:rPr>
              <w:t xml:space="preserve">Transportation and Storage </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37.9</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27.0</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27.7</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29.6</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28.0</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24.3</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Information and Communications</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70.7</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66.5</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81.4</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80.4</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66.0</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82.8</w:t>
            </w:r>
          </w:p>
        </w:tc>
      </w:tr>
      <w:tr w:rsidR="00CB7DEE" w:rsidRPr="00A77491" w:rsidTr="00CB7DEE">
        <w:trPr>
          <w:trHeight w:val="340"/>
          <w:jc w:val="center"/>
        </w:trPr>
        <w:tc>
          <w:tcPr>
            <w:tcW w:w="1662" w:type="pct"/>
            <w:shd w:val="clear" w:color="auto" w:fill="auto"/>
            <w:vAlign w:val="center"/>
            <w:hideMark/>
          </w:tcPr>
          <w:p w:rsidR="00CB7DEE" w:rsidRPr="006045BF" w:rsidRDefault="00CB7DEE" w:rsidP="006F4FF3">
            <w:pPr>
              <w:pStyle w:val="Footer"/>
              <w:tabs>
                <w:tab w:val="clear" w:pos="4153"/>
                <w:tab w:val="clear" w:pos="8306"/>
              </w:tabs>
              <w:rPr>
                <w:rFonts w:ascii="Arial" w:hAnsi="Arial" w:cs="Arial"/>
                <w:sz w:val="18"/>
                <w:szCs w:val="18"/>
              </w:rPr>
            </w:pPr>
            <w:r w:rsidRPr="006045BF">
              <w:rPr>
                <w:rFonts w:ascii="Arial" w:hAnsi="Arial" w:cs="Arial"/>
                <w:sz w:val="18"/>
                <w:szCs w:val="18"/>
              </w:rPr>
              <w:t xml:space="preserve">Services and Other Branches**                                                                         </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83.2</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77.0</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76.6</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79.5</w:t>
            </w:r>
          </w:p>
        </w:tc>
        <w:tc>
          <w:tcPr>
            <w:tcW w:w="556"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78.0</w:t>
            </w:r>
          </w:p>
        </w:tc>
        <w:tc>
          <w:tcPr>
            <w:tcW w:w="557" w:type="pct"/>
            <w:shd w:val="clear" w:color="auto" w:fill="auto"/>
            <w:vAlign w:val="center"/>
            <w:hideMark/>
          </w:tcPr>
          <w:p w:rsidR="00CB7DEE" w:rsidRPr="006045BF" w:rsidRDefault="00CB7DEE" w:rsidP="00477F96">
            <w:pPr>
              <w:pStyle w:val="Footer"/>
              <w:tabs>
                <w:tab w:val="clear" w:pos="4153"/>
                <w:tab w:val="clear" w:pos="8306"/>
              </w:tabs>
              <w:jc w:val="right"/>
              <w:rPr>
                <w:rFonts w:ascii="Arial" w:hAnsi="Arial" w:cs="Arial"/>
                <w:sz w:val="18"/>
                <w:szCs w:val="18"/>
              </w:rPr>
            </w:pPr>
            <w:r w:rsidRPr="006045BF">
              <w:rPr>
                <w:rFonts w:ascii="Arial" w:hAnsi="Arial" w:cs="Arial"/>
                <w:sz w:val="18"/>
                <w:szCs w:val="18"/>
              </w:rPr>
              <w:t>83.9</w:t>
            </w:r>
          </w:p>
        </w:tc>
      </w:tr>
    </w:tbl>
    <w:p w:rsidR="00CD4514" w:rsidRPr="008A63DE" w:rsidRDefault="00CD4514" w:rsidP="00A77491">
      <w:pPr>
        <w:shd w:val="clear" w:color="auto" w:fill="FFFFFF" w:themeFill="background1"/>
        <w:spacing w:after="0" w:line="240" w:lineRule="auto"/>
        <w:ind w:left="142" w:hanging="142"/>
        <w:jc w:val="both"/>
        <w:rPr>
          <w:rFonts w:ascii="Times New Roman" w:hAnsi="Times New Roman" w:cs="Times New Roman"/>
          <w:sz w:val="18"/>
          <w:szCs w:val="18"/>
        </w:rPr>
      </w:pPr>
      <w:r w:rsidRPr="008A63DE">
        <w:rPr>
          <w:rFonts w:ascii="Times New Roman" w:hAnsi="Times New Roman" w:cs="Times New Roman"/>
          <w:snapToGrid w:val="0"/>
          <w:sz w:val="18"/>
          <w:szCs w:val="18"/>
        </w:rPr>
        <w:t xml:space="preserve">  * </w:t>
      </w:r>
      <w:r w:rsidRPr="008A63DE">
        <w:rPr>
          <w:rFonts w:ascii="Times New Roman" w:hAnsi="Times New Roman" w:cs="Times New Roman"/>
          <w:sz w:val="18"/>
          <w:szCs w:val="18"/>
        </w:rPr>
        <w:t xml:space="preserve">Number of the employed doesn’t include the employees in Israel and settlements and abroad, and the nominal daily wage was linked to CPI to monitor the purchasing power of employees at constant prices (base </w:t>
      </w:r>
      <w:r w:rsidR="00A77491" w:rsidRPr="008A63DE">
        <w:rPr>
          <w:rFonts w:ascii="Times New Roman" w:hAnsi="Times New Roman" w:cs="Times New Roman"/>
          <w:sz w:val="18"/>
          <w:szCs w:val="18"/>
        </w:rPr>
        <w:t xml:space="preserve">            </w:t>
      </w:r>
      <w:r w:rsidRPr="008A63DE">
        <w:rPr>
          <w:rFonts w:ascii="Times New Roman" w:hAnsi="Times New Roman" w:cs="Times New Roman"/>
          <w:sz w:val="18"/>
          <w:szCs w:val="18"/>
        </w:rPr>
        <w:t>year 2010).</w:t>
      </w:r>
    </w:p>
    <w:p w:rsidR="00CD4514" w:rsidRPr="008A63DE" w:rsidRDefault="00CD4514" w:rsidP="00A77491">
      <w:pPr>
        <w:shd w:val="clear" w:color="auto" w:fill="FFFFFF" w:themeFill="background1"/>
        <w:spacing w:after="0" w:line="240" w:lineRule="auto"/>
        <w:ind w:left="142" w:hanging="142"/>
        <w:jc w:val="both"/>
        <w:rPr>
          <w:rFonts w:ascii="Times New Roman" w:hAnsi="Times New Roman" w:cs="Times New Roman"/>
          <w:snapToGrid w:val="0"/>
          <w:sz w:val="18"/>
          <w:szCs w:val="18"/>
        </w:rPr>
      </w:pPr>
      <w:r w:rsidRPr="008A63DE">
        <w:rPr>
          <w:rFonts w:ascii="Times New Roman" w:hAnsi="Times New Roman" w:cs="Times New Roman"/>
          <w:sz w:val="18"/>
          <w:szCs w:val="18"/>
        </w:rPr>
        <w:t xml:space="preserve">  **</w:t>
      </w:r>
      <w:r w:rsidRPr="008A63DE">
        <w:rPr>
          <w:rFonts w:ascii="Times New Roman" w:hAnsi="Times New Roman" w:cs="Times New Roman"/>
          <w:b/>
          <w:bCs/>
          <w:sz w:val="24"/>
          <w:szCs w:val="24"/>
        </w:rPr>
        <w:t xml:space="preserve"> </w:t>
      </w:r>
      <w:r w:rsidRPr="008A63DE">
        <w:rPr>
          <w:rFonts w:ascii="Times New Roman" w:hAnsi="Times New Roman" w:cs="Times New Roman"/>
          <w:sz w:val="18"/>
          <w:szCs w:val="18"/>
        </w:rPr>
        <w:t>Including government employees</w:t>
      </w:r>
      <w:r w:rsidRPr="008A63DE">
        <w:rPr>
          <w:rFonts w:ascii="Times New Roman" w:hAnsi="Times New Roman" w:cs="Times New Roman"/>
          <w:snapToGrid w:val="0"/>
          <w:sz w:val="18"/>
          <w:szCs w:val="18"/>
        </w:rPr>
        <w:t xml:space="preserve">                                                         </w:t>
      </w:r>
      <w:r w:rsidRPr="008A63DE">
        <w:rPr>
          <w:rFonts w:ascii="Times New Roman" w:hAnsi="Times New Roman" w:cs="Times New Roman"/>
          <w:snapToGrid w:val="0"/>
          <w:sz w:val="18"/>
          <w:szCs w:val="18"/>
        </w:rPr>
        <w:tab/>
      </w:r>
    </w:p>
    <w:p w:rsidR="008A63DE" w:rsidRDefault="008A63DE" w:rsidP="00477F96">
      <w:pPr>
        <w:spacing w:after="0" w:line="240" w:lineRule="auto"/>
        <w:jc w:val="both"/>
        <w:rPr>
          <w:rFonts w:ascii="Times New Roman" w:hAnsi="Times New Roman" w:cs="Times New Roman"/>
          <w:sz w:val="24"/>
          <w:szCs w:val="24"/>
        </w:rPr>
      </w:pPr>
    </w:p>
    <w:p w:rsidR="00CD4514" w:rsidRPr="00AF3DC3" w:rsidRDefault="00AF3DC3" w:rsidP="00477F96">
      <w:pPr>
        <w:spacing w:after="0" w:line="240" w:lineRule="auto"/>
        <w:jc w:val="both"/>
        <w:rPr>
          <w:rFonts w:ascii="Times New Roman" w:hAnsi="Times New Roman" w:cs="Times New Roman"/>
          <w:sz w:val="24"/>
          <w:szCs w:val="24"/>
        </w:rPr>
      </w:pPr>
      <w:r w:rsidRPr="00AF3DC3">
        <w:rPr>
          <w:rFonts w:ascii="Times New Roman" w:hAnsi="Times New Roman" w:cs="Times New Roman"/>
          <w:b/>
          <w:bCs/>
          <w:sz w:val="24"/>
          <w:szCs w:val="24"/>
        </w:rPr>
        <w:t xml:space="preserve">1.2.6 </w:t>
      </w:r>
      <w:r w:rsidR="00CD4514" w:rsidRPr="00AF3DC3">
        <w:rPr>
          <w:rFonts w:ascii="Times New Roman" w:hAnsi="Times New Roman" w:cs="Times New Roman"/>
          <w:b/>
          <w:bCs/>
          <w:sz w:val="24"/>
          <w:szCs w:val="24"/>
        </w:rPr>
        <w:t>Average Value Added per Employed Person</w:t>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sz w:val="24"/>
          <w:szCs w:val="24"/>
        </w:rPr>
        <w:t xml:space="preserve">Average value added per employed person is an important indicator to measure the efficiency and effectiveness of work in achieving a specific level of production process outputs, and the extent of the exploitation of the technological component in the production process.  Many factors affect the level of average value added per employed person, including the quality of </w:t>
      </w:r>
      <w:r w:rsidRPr="00477F96">
        <w:rPr>
          <w:rFonts w:ascii="Times New Roman" w:hAnsi="Times New Roman" w:cs="Times New Roman"/>
          <w:sz w:val="24"/>
          <w:szCs w:val="24"/>
        </w:rPr>
        <w:lastRenderedPageBreak/>
        <w:t xml:space="preserve">the inputs of production, technology, education, training, plus the work environment represented in the laws and regulations of the </w:t>
      </w:r>
      <w:proofErr w:type="spellStart"/>
      <w:r w:rsidRPr="00477F96">
        <w:rPr>
          <w:rFonts w:ascii="Times New Roman" w:hAnsi="Times New Roman" w:cs="Times New Roman"/>
          <w:sz w:val="24"/>
          <w:szCs w:val="24"/>
        </w:rPr>
        <w:t>labor</w:t>
      </w:r>
      <w:proofErr w:type="spellEnd"/>
      <w:r w:rsidRPr="00477F96">
        <w:rPr>
          <w:rFonts w:ascii="Times New Roman" w:hAnsi="Times New Roman" w:cs="Times New Roman"/>
          <w:sz w:val="24"/>
          <w:szCs w:val="24"/>
        </w:rPr>
        <w:t xml:space="preserve"> market and other domains.</w:t>
      </w:r>
    </w:p>
    <w:p w:rsidR="00CD4514" w:rsidRPr="00477F96" w:rsidRDefault="00CD4514" w:rsidP="00477F96">
      <w:pPr>
        <w:tabs>
          <w:tab w:val="left" w:pos="1816"/>
        </w:tabs>
        <w:spacing w:after="0" w:line="240" w:lineRule="auto"/>
        <w:jc w:val="both"/>
        <w:rPr>
          <w:rFonts w:ascii="Times New Roman" w:hAnsi="Times New Roman" w:cs="Times New Roman"/>
          <w:sz w:val="24"/>
          <w:szCs w:val="24"/>
        </w:rPr>
      </w:pPr>
      <w:r w:rsidRPr="00477F96">
        <w:rPr>
          <w:rFonts w:ascii="Times New Roman" w:hAnsi="Times New Roman" w:cs="Times New Roman"/>
          <w:sz w:val="24"/>
          <w:szCs w:val="24"/>
        </w:rPr>
        <w:tab/>
      </w:r>
    </w:p>
    <w:p w:rsidR="00CD4514" w:rsidRPr="00477F96" w:rsidRDefault="00CD4514" w:rsidP="00D97CA4">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Average value added per employed person in Palestine rose by 3.9% during the year 2018 compared to 2017.</w:t>
      </w:r>
      <w:r w:rsidRPr="00477F96">
        <w:rPr>
          <w:rFonts w:ascii="Times New Roman" w:hAnsi="Times New Roman" w:cs="Times New Roman"/>
          <w:sz w:val="24"/>
          <w:szCs w:val="24"/>
        </w:rPr>
        <w:t xml:space="preserve">  Average value added per employed person fluctuated during</w:t>
      </w:r>
      <w:r w:rsidR="000B2FA2">
        <w:rPr>
          <w:rFonts w:ascii="Times New Roman" w:hAnsi="Times New Roman" w:cs="Times New Roman"/>
          <w:sz w:val="24"/>
          <w:szCs w:val="24"/>
        </w:rPr>
        <w:t xml:space="preserve">  </w:t>
      </w:r>
      <w:r w:rsidRPr="00477F96">
        <w:rPr>
          <w:rFonts w:ascii="Times New Roman" w:hAnsi="Times New Roman" w:cs="Times New Roman"/>
          <w:sz w:val="24"/>
          <w:szCs w:val="24"/>
        </w:rPr>
        <w:t xml:space="preserve"> 2013- 2018, where it reached in 2018 with USD 14,858.9 per employed person.  The average value added per employed person varied between the West Bank and Gaza Strip in 2018 to represent USD </w:t>
      </w:r>
      <w:r w:rsidRPr="00477F96">
        <w:rPr>
          <w:rFonts w:ascii="Times New Roman" w:hAnsi="Times New Roman" w:cs="Times New Roman"/>
          <w:sz w:val="24"/>
          <w:szCs w:val="24"/>
          <w:rtl/>
        </w:rPr>
        <w:t>16,930.3</w:t>
      </w:r>
      <w:r w:rsidRPr="00477F96">
        <w:rPr>
          <w:rFonts w:ascii="Times New Roman" w:hAnsi="Times New Roman" w:cs="Times New Roman"/>
          <w:sz w:val="24"/>
          <w:szCs w:val="24"/>
        </w:rPr>
        <w:t xml:space="preserve"> per employed person in the West Bank, compared to USD </w:t>
      </w:r>
      <w:r w:rsidRPr="00477F96">
        <w:rPr>
          <w:rFonts w:ascii="Times New Roman" w:hAnsi="Times New Roman" w:cs="Times New Roman"/>
          <w:sz w:val="24"/>
          <w:szCs w:val="24"/>
          <w:rtl/>
        </w:rPr>
        <w:t>10,384.6</w:t>
      </w:r>
      <w:r w:rsidRPr="00477F96">
        <w:rPr>
          <w:rFonts w:ascii="Times New Roman" w:hAnsi="Times New Roman" w:cs="Times New Roman"/>
          <w:sz w:val="24"/>
          <w:szCs w:val="24"/>
        </w:rPr>
        <w:t xml:space="preserve"> in Gaza Strip. (See figure </w:t>
      </w:r>
      <w:r w:rsidR="00D97CA4">
        <w:rPr>
          <w:rFonts w:ascii="Times New Roman" w:hAnsi="Times New Roman" w:cs="Times New Roman"/>
          <w:sz w:val="24"/>
          <w:szCs w:val="24"/>
        </w:rPr>
        <w:t>below</w:t>
      </w:r>
      <w:r w:rsidRPr="00477F96">
        <w:rPr>
          <w:rFonts w:ascii="Times New Roman" w:hAnsi="Times New Roman" w:cs="Times New Roman"/>
          <w:sz w:val="24"/>
          <w:szCs w:val="24"/>
        </w:rPr>
        <w:t>).</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AF3DC3" w:rsidRDefault="00CD4514" w:rsidP="00477F96">
      <w:pPr>
        <w:spacing w:after="0" w:line="240" w:lineRule="auto"/>
        <w:jc w:val="center"/>
        <w:rPr>
          <w:rFonts w:ascii="Arial" w:hAnsi="Arial" w:cs="Arial"/>
          <w:b/>
          <w:bCs/>
        </w:rPr>
      </w:pPr>
      <w:r w:rsidRPr="00AF3DC3">
        <w:rPr>
          <w:rFonts w:ascii="Arial" w:hAnsi="Arial" w:cs="Arial"/>
          <w:b/>
          <w:bCs/>
        </w:rPr>
        <w:t>Average value added per employed</w:t>
      </w:r>
      <w:r w:rsidRPr="00AF3DC3">
        <w:rPr>
          <w:rFonts w:ascii="Arial" w:hAnsi="Arial" w:cs="Arial"/>
          <w:b/>
          <w:bCs/>
          <w:lang w:val="en-US"/>
        </w:rPr>
        <w:t>*</w:t>
      </w:r>
      <w:r w:rsidRPr="00AF3DC3">
        <w:rPr>
          <w:rFonts w:ascii="Arial" w:hAnsi="Arial" w:cs="Arial"/>
          <w:b/>
          <w:bCs/>
        </w:rPr>
        <w:t xml:space="preserve"> person in Palestine,</w:t>
      </w:r>
      <w:r w:rsidRPr="00AF3DC3">
        <w:rPr>
          <w:rFonts w:ascii="Arial" w:hAnsi="Arial" w:cs="Arial"/>
          <w:b/>
          <w:bCs/>
          <w:rtl/>
        </w:rPr>
        <w:t xml:space="preserve"> </w:t>
      </w:r>
      <w:r w:rsidR="00EF105D">
        <w:rPr>
          <w:rFonts w:ascii="Arial" w:hAnsi="Arial" w:cs="Arial"/>
          <w:b/>
          <w:bCs/>
        </w:rPr>
        <w:t>2013-</w:t>
      </w:r>
      <w:r w:rsidRPr="00AF3DC3">
        <w:rPr>
          <w:rFonts w:ascii="Arial" w:hAnsi="Arial" w:cs="Arial"/>
          <w:b/>
          <w:bCs/>
        </w:rPr>
        <w:t>2018</w:t>
      </w:r>
    </w:p>
    <w:tbl>
      <w:tblPr>
        <w:tblStyle w:val="TableGrid"/>
        <w:tblW w:w="0" w:type="auto"/>
        <w:tblInd w:w="108" w:type="dxa"/>
        <w:tblLook w:val="04A0"/>
      </w:tblPr>
      <w:tblGrid>
        <w:gridCol w:w="9107"/>
      </w:tblGrid>
      <w:tr w:rsidR="00CD4514" w:rsidRPr="00477F96" w:rsidTr="00AF3DC3">
        <w:tc>
          <w:tcPr>
            <w:tcW w:w="9107" w:type="dxa"/>
          </w:tcPr>
          <w:p w:rsidR="00CD4514" w:rsidRPr="00477F96" w:rsidRDefault="00CD4514" w:rsidP="00477F96">
            <w:pPr>
              <w:jc w:val="center"/>
              <w:rPr>
                <w:rFonts w:ascii="Times New Roman" w:hAnsi="Times New Roman" w:cs="Times New Roman"/>
                <w:b/>
                <w:bCs/>
                <w:lang w:val="en-US"/>
              </w:rPr>
            </w:pPr>
            <w:r w:rsidRPr="00477F96">
              <w:rPr>
                <w:rFonts w:ascii="Times New Roman" w:hAnsi="Times New Roman" w:cs="Times New Roman"/>
                <w:b/>
                <w:bCs/>
                <w:noProof/>
              </w:rPr>
              <w:drawing>
                <wp:inline distT="0" distB="0" distL="0" distR="0">
                  <wp:extent cx="5626376" cy="2743200"/>
                  <wp:effectExtent l="19050" t="0" r="0" b="0"/>
                  <wp:docPr id="2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CD4514" w:rsidRPr="00477F96" w:rsidRDefault="00CD4514" w:rsidP="00477F96">
      <w:pPr>
        <w:spacing w:after="0" w:line="240" w:lineRule="auto"/>
        <w:jc w:val="both"/>
        <w:rPr>
          <w:rFonts w:ascii="Times New Roman" w:hAnsi="Times New Roman" w:cs="Times New Roman"/>
          <w:sz w:val="18"/>
          <w:szCs w:val="18"/>
        </w:rPr>
      </w:pPr>
      <w:r w:rsidRPr="00477F96">
        <w:rPr>
          <w:rFonts w:ascii="Times New Roman" w:hAnsi="Times New Roman" w:cs="Times New Roman"/>
          <w:sz w:val="18"/>
          <w:szCs w:val="18"/>
        </w:rPr>
        <w:t>* The da</w:t>
      </w:r>
      <w:r w:rsidR="000B2FA2">
        <w:rPr>
          <w:rFonts w:ascii="Times New Roman" w:hAnsi="Times New Roman" w:cs="Times New Roman"/>
          <w:sz w:val="18"/>
          <w:szCs w:val="18"/>
        </w:rPr>
        <w:t>ta doesn’t include the employed persons</w:t>
      </w:r>
      <w:r w:rsidRPr="00477F96">
        <w:rPr>
          <w:rFonts w:ascii="Times New Roman" w:hAnsi="Times New Roman" w:cs="Times New Roman"/>
          <w:sz w:val="18"/>
          <w:szCs w:val="18"/>
        </w:rPr>
        <w:t xml:space="preserve"> in Israel and settlements and abroad.</w:t>
      </w:r>
    </w:p>
    <w:p w:rsidR="00CD4514" w:rsidRPr="00477F96" w:rsidRDefault="00CD4514" w:rsidP="00477F96">
      <w:pPr>
        <w:spacing w:after="0" w:line="240" w:lineRule="auto"/>
        <w:jc w:val="both"/>
        <w:rPr>
          <w:rFonts w:ascii="Times New Roman" w:hAnsi="Times New Roman" w:cs="Times New Roman"/>
          <w:sz w:val="18"/>
          <w:szCs w:val="18"/>
        </w:rPr>
      </w:pPr>
    </w:p>
    <w:p w:rsidR="00CD4514" w:rsidRPr="00477F96" w:rsidRDefault="00CD4514" w:rsidP="00321527">
      <w:pPr>
        <w:spacing w:after="0" w:line="240" w:lineRule="auto"/>
        <w:jc w:val="both"/>
        <w:rPr>
          <w:rFonts w:ascii="Times New Roman" w:hAnsi="Times New Roman" w:cs="Times New Roman"/>
          <w:sz w:val="24"/>
          <w:szCs w:val="24"/>
          <w:rtl/>
        </w:rPr>
      </w:pPr>
      <w:r w:rsidRPr="00477F96">
        <w:rPr>
          <w:rFonts w:ascii="Times New Roman" w:hAnsi="Times New Roman" w:cs="Times New Roman"/>
          <w:b/>
          <w:bCs/>
          <w:sz w:val="24"/>
          <w:szCs w:val="24"/>
        </w:rPr>
        <w:t xml:space="preserve">And at the level of the economic activities, the average value added per employed person for information and communications activities declined by 6.3% reaching to USD 47,427.2 in 2018, </w:t>
      </w:r>
      <w:r w:rsidRPr="00477F96">
        <w:rPr>
          <w:rFonts w:ascii="Times New Roman" w:hAnsi="Times New Roman" w:cs="Times New Roman"/>
          <w:sz w:val="24"/>
          <w:szCs w:val="24"/>
        </w:rPr>
        <w:t>this activity is considered ranked first in terms of the average value added per employed person, followed by average value added per employed person in industry activities with USD 17,645.4 in 2018</w:t>
      </w:r>
      <w:r w:rsidRPr="00477F96">
        <w:rPr>
          <w:rFonts w:ascii="Times New Roman" w:hAnsi="Times New Roman" w:cs="Times New Roman"/>
          <w:b/>
          <w:bCs/>
          <w:sz w:val="24"/>
          <w:szCs w:val="24"/>
        </w:rPr>
        <w:t xml:space="preserve">.  </w:t>
      </w:r>
      <w:r w:rsidRPr="00477F96">
        <w:rPr>
          <w:rFonts w:ascii="Times New Roman" w:hAnsi="Times New Roman" w:cs="Times New Roman"/>
          <w:sz w:val="24"/>
          <w:szCs w:val="24"/>
        </w:rPr>
        <w:t>The average value added per employed person varied between West Bank and Gaza Strip for information and communications activities, the value in West Bank was USD 64,000</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 xml:space="preserve">compared to USD 5,137.9 in Gaza Strip, whereas the value of average value added per employed person for construction activities in Gaza Strip was USD 20,134.8 compared to USD 9,666.2 in the West Bank.  (See table </w:t>
      </w:r>
      <w:r w:rsidRPr="00477F96">
        <w:rPr>
          <w:rFonts w:ascii="Times New Roman" w:hAnsi="Times New Roman" w:cs="Times New Roman"/>
          <w:sz w:val="24"/>
          <w:szCs w:val="24"/>
          <w:rtl/>
        </w:rPr>
        <w:t>6</w:t>
      </w:r>
      <w:r w:rsidRPr="00477F96">
        <w:rPr>
          <w:rFonts w:ascii="Times New Roman" w:hAnsi="Times New Roman" w:cs="Times New Roman"/>
          <w:sz w:val="24"/>
          <w:szCs w:val="24"/>
        </w:rPr>
        <w:t xml:space="preserve">).  </w:t>
      </w: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tl/>
        </w:rPr>
      </w:pPr>
    </w:p>
    <w:p w:rsidR="00CD4514" w:rsidRDefault="00CD4514" w:rsidP="00477F96">
      <w:pPr>
        <w:spacing w:after="0" w:line="240" w:lineRule="auto"/>
        <w:jc w:val="both"/>
        <w:rPr>
          <w:rFonts w:ascii="Times New Roman" w:hAnsi="Times New Roman" w:cs="Times New Roman"/>
          <w:sz w:val="24"/>
          <w:szCs w:val="24"/>
        </w:rPr>
      </w:pPr>
    </w:p>
    <w:p w:rsidR="00D97CA4" w:rsidRDefault="00D97CA4" w:rsidP="00477F96">
      <w:pPr>
        <w:spacing w:after="0" w:line="240" w:lineRule="auto"/>
        <w:jc w:val="both"/>
        <w:rPr>
          <w:rFonts w:ascii="Times New Roman" w:hAnsi="Times New Roman" w:cs="Times New Roman"/>
          <w:sz w:val="24"/>
          <w:szCs w:val="24"/>
        </w:rPr>
      </w:pPr>
    </w:p>
    <w:p w:rsidR="00D97CA4" w:rsidRDefault="00D97CA4" w:rsidP="00477F96">
      <w:pPr>
        <w:spacing w:after="0" w:line="240" w:lineRule="auto"/>
        <w:jc w:val="both"/>
        <w:rPr>
          <w:rFonts w:ascii="Times New Roman" w:hAnsi="Times New Roman" w:cs="Times New Roman"/>
          <w:sz w:val="24"/>
          <w:szCs w:val="24"/>
        </w:rPr>
      </w:pPr>
    </w:p>
    <w:p w:rsidR="00D97CA4" w:rsidRDefault="00D97CA4" w:rsidP="00477F96">
      <w:pPr>
        <w:spacing w:after="0" w:line="240" w:lineRule="auto"/>
        <w:jc w:val="both"/>
        <w:rPr>
          <w:rFonts w:ascii="Times New Roman" w:hAnsi="Times New Roman" w:cs="Times New Roman"/>
          <w:sz w:val="24"/>
          <w:szCs w:val="24"/>
        </w:rPr>
      </w:pPr>
    </w:p>
    <w:p w:rsidR="00D97CA4" w:rsidRPr="00477F96" w:rsidRDefault="00D97CA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61BD" w:rsidRDefault="00CD4514" w:rsidP="00C271AF">
      <w:pPr>
        <w:spacing w:after="0" w:line="240" w:lineRule="auto"/>
        <w:jc w:val="center"/>
        <w:rPr>
          <w:rFonts w:ascii="Arial" w:hAnsi="Arial" w:cs="Arial"/>
          <w:b/>
          <w:bCs/>
        </w:rPr>
      </w:pPr>
      <w:r w:rsidRPr="004761BD">
        <w:rPr>
          <w:rFonts w:ascii="Arial" w:hAnsi="Arial" w:cs="Arial"/>
          <w:b/>
          <w:bCs/>
        </w:rPr>
        <w:lastRenderedPageBreak/>
        <w:t>Table 6: Average value added per employed person</w:t>
      </w:r>
      <w:r w:rsidR="00C271AF">
        <w:rPr>
          <w:rFonts w:ascii="Arial" w:hAnsi="Arial" w:cs="Arial"/>
          <w:b/>
          <w:bCs/>
        </w:rPr>
        <w:t>*</w:t>
      </w:r>
      <w:r w:rsidRPr="004761BD">
        <w:rPr>
          <w:rFonts w:ascii="Arial" w:hAnsi="Arial" w:cs="Arial"/>
          <w:b/>
          <w:bCs/>
        </w:rPr>
        <w:t xml:space="preserve"> by economic activity and region,</w:t>
      </w:r>
      <w:r w:rsidRPr="004761BD">
        <w:rPr>
          <w:rFonts w:ascii="Arial" w:hAnsi="Arial" w:cs="Arial"/>
          <w:b/>
          <w:bCs/>
          <w:rtl/>
        </w:rPr>
        <w:t xml:space="preserve"> </w:t>
      </w:r>
      <w:r w:rsidR="00EF105D">
        <w:rPr>
          <w:rFonts w:ascii="Arial" w:hAnsi="Arial" w:cs="Arial"/>
          <w:b/>
          <w:bCs/>
        </w:rPr>
        <w:t>2013-</w:t>
      </w:r>
      <w:r w:rsidRPr="004761BD">
        <w:rPr>
          <w:rFonts w:ascii="Arial" w:hAnsi="Arial" w:cs="Arial"/>
          <w:b/>
          <w:bCs/>
        </w:rPr>
        <w:t>2018</w:t>
      </w:r>
    </w:p>
    <w:p w:rsidR="00CD4514" w:rsidRPr="00477F96" w:rsidRDefault="00CD4514" w:rsidP="00477F96">
      <w:pPr>
        <w:spacing w:after="0" w:line="240" w:lineRule="auto"/>
        <w:jc w:val="center"/>
        <w:rPr>
          <w:rFonts w:ascii="Times New Roman" w:hAnsi="Times New Roman" w:cs="Times New Roman"/>
          <w:b/>
          <w:bCs/>
          <w:sz w:val="10"/>
          <w:szCs w:val="10"/>
        </w:rPr>
      </w:pPr>
    </w:p>
    <w:p w:rsidR="00CD4514" w:rsidRPr="00A77491" w:rsidRDefault="00CD4514" w:rsidP="00477F96">
      <w:pPr>
        <w:spacing w:after="0" w:line="240" w:lineRule="auto"/>
        <w:rPr>
          <w:rFonts w:ascii="Arial" w:hAnsi="Arial" w:cs="Arial"/>
          <w:sz w:val="18"/>
          <w:szCs w:val="18"/>
          <w:rtl/>
          <w:lang w:val="en-US"/>
        </w:rPr>
      </w:pPr>
      <w:r w:rsidRPr="00A77491">
        <w:rPr>
          <w:rFonts w:ascii="Arial" w:hAnsi="Arial" w:cs="Arial"/>
          <w:sz w:val="18"/>
          <w:szCs w:val="18"/>
          <w:lang w:val="en-US"/>
        </w:rPr>
        <w:t xml:space="preserve">Value in </w:t>
      </w:r>
      <w:r w:rsidRPr="00A77491">
        <w:rPr>
          <w:rFonts w:ascii="Arial" w:hAnsi="Arial" w:cs="Arial"/>
          <w:sz w:val="18"/>
          <w:szCs w:val="18"/>
        </w:rPr>
        <w:t>USD</w:t>
      </w:r>
    </w:p>
    <w:tbl>
      <w:tblPr>
        <w:tblW w:w="9072" w:type="dxa"/>
        <w:jc w:val="center"/>
        <w:tblBorders>
          <w:top w:val="single" w:sz="12" w:space="0" w:color="auto"/>
          <w:bottom w:val="single" w:sz="12" w:space="0" w:color="auto"/>
        </w:tblBorders>
        <w:tblLayout w:type="fixed"/>
        <w:tblLook w:val="04A0"/>
      </w:tblPr>
      <w:tblGrid>
        <w:gridCol w:w="3021"/>
        <w:gridCol w:w="1008"/>
        <w:gridCol w:w="1009"/>
        <w:gridCol w:w="1008"/>
        <w:gridCol w:w="1009"/>
        <w:gridCol w:w="1008"/>
        <w:gridCol w:w="1009"/>
      </w:tblGrid>
      <w:tr w:rsidR="00CD4514" w:rsidRPr="00A77491" w:rsidTr="00321527">
        <w:trPr>
          <w:trHeight w:val="340"/>
          <w:jc w:val="center"/>
        </w:trPr>
        <w:tc>
          <w:tcPr>
            <w:tcW w:w="3021" w:type="dxa"/>
            <w:tcBorders>
              <w:top w:val="single" w:sz="12" w:space="0" w:color="auto"/>
              <w:bottom w:val="single" w:sz="12" w:space="0" w:color="auto"/>
            </w:tcBorders>
            <w:shd w:val="clear" w:color="auto" w:fill="auto"/>
            <w:vAlign w:val="center"/>
            <w:hideMark/>
          </w:tcPr>
          <w:p w:rsidR="00CD4514" w:rsidRPr="002F404B" w:rsidRDefault="00CD4514" w:rsidP="00477F96">
            <w:pPr>
              <w:pStyle w:val="Footer"/>
              <w:tabs>
                <w:tab w:val="clear" w:pos="4153"/>
                <w:tab w:val="clear" w:pos="8306"/>
              </w:tabs>
              <w:jc w:val="center"/>
              <w:rPr>
                <w:rFonts w:ascii="Arial" w:hAnsi="Arial" w:cs="Arial"/>
                <w:b/>
                <w:bCs/>
                <w:sz w:val="18"/>
                <w:szCs w:val="18"/>
              </w:rPr>
            </w:pPr>
            <w:r w:rsidRPr="002F404B">
              <w:rPr>
                <w:rFonts w:ascii="Arial" w:hAnsi="Arial" w:cs="Arial"/>
                <w:b/>
                <w:bCs/>
                <w:sz w:val="18"/>
                <w:szCs w:val="18"/>
              </w:rPr>
              <w:t>Economic Activity</w:t>
            </w:r>
          </w:p>
        </w:tc>
        <w:tc>
          <w:tcPr>
            <w:tcW w:w="1008" w:type="dxa"/>
            <w:tcBorders>
              <w:top w:val="single" w:sz="12" w:space="0" w:color="auto"/>
              <w:bottom w:val="single" w:sz="12" w:space="0" w:color="auto"/>
            </w:tcBorders>
            <w:shd w:val="clear" w:color="auto" w:fill="auto"/>
            <w:vAlign w:val="center"/>
            <w:hideMark/>
          </w:tcPr>
          <w:p w:rsidR="00CD4514" w:rsidRPr="002F404B" w:rsidRDefault="00CD4514" w:rsidP="00477F96">
            <w:pPr>
              <w:pStyle w:val="BodyText3"/>
              <w:spacing w:after="0" w:line="240" w:lineRule="auto"/>
              <w:jc w:val="center"/>
              <w:rPr>
                <w:rFonts w:ascii="Arial" w:hAnsi="Arial" w:cs="Arial"/>
                <w:b/>
                <w:bCs/>
                <w:sz w:val="18"/>
                <w:szCs w:val="18"/>
              </w:rPr>
            </w:pPr>
            <w:r w:rsidRPr="002F404B">
              <w:rPr>
                <w:rFonts w:ascii="Arial" w:hAnsi="Arial" w:cs="Arial"/>
                <w:b/>
                <w:bCs/>
                <w:sz w:val="18"/>
                <w:szCs w:val="18"/>
              </w:rPr>
              <w:t>2013</w:t>
            </w:r>
          </w:p>
        </w:tc>
        <w:tc>
          <w:tcPr>
            <w:tcW w:w="1009" w:type="dxa"/>
            <w:tcBorders>
              <w:top w:val="single" w:sz="12" w:space="0" w:color="auto"/>
              <w:bottom w:val="single" w:sz="12" w:space="0" w:color="auto"/>
            </w:tcBorders>
            <w:shd w:val="clear" w:color="auto" w:fill="auto"/>
            <w:vAlign w:val="center"/>
            <w:hideMark/>
          </w:tcPr>
          <w:p w:rsidR="00CD4514" w:rsidRPr="002F404B" w:rsidRDefault="00CD4514" w:rsidP="00477F96">
            <w:pPr>
              <w:pStyle w:val="BodyText3"/>
              <w:spacing w:after="0" w:line="240" w:lineRule="auto"/>
              <w:jc w:val="center"/>
              <w:rPr>
                <w:rFonts w:ascii="Arial" w:hAnsi="Arial" w:cs="Arial"/>
                <w:b/>
                <w:bCs/>
                <w:sz w:val="18"/>
                <w:szCs w:val="18"/>
                <w:lang w:val="en-US"/>
              </w:rPr>
            </w:pPr>
            <w:r w:rsidRPr="002F404B">
              <w:rPr>
                <w:rFonts w:ascii="Arial" w:hAnsi="Arial" w:cs="Arial"/>
                <w:b/>
                <w:bCs/>
                <w:sz w:val="18"/>
                <w:szCs w:val="18"/>
              </w:rPr>
              <w:t>2014</w:t>
            </w:r>
          </w:p>
        </w:tc>
        <w:tc>
          <w:tcPr>
            <w:tcW w:w="1008" w:type="dxa"/>
            <w:tcBorders>
              <w:top w:val="single" w:sz="12" w:space="0" w:color="auto"/>
              <w:bottom w:val="single" w:sz="12" w:space="0" w:color="auto"/>
            </w:tcBorders>
            <w:shd w:val="clear" w:color="auto" w:fill="auto"/>
            <w:vAlign w:val="center"/>
            <w:hideMark/>
          </w:tcPr>
          <w:p w:rsidR="00CD4514" w:rsidRPr="002F404B" w:rsidRDefault="00CD4514" w:rsidP="00477F96">
            <w:pPr>
              <w:pStyle w:val="BodyText3"/>
              <w:spacing w:after="0" w:line="240" w:lineRule="auto"/>
              <w:jc w:val="center"/>
              <w:rPr>
                <w:rFonts w:ascii="Arial" w:hAnsi="Arial" w:cs="Arial"/>
                <w:b/>
                <w:bCs/>
                <w:sz w:val="18"/>
                <w:szCs w:val="18"/>
              </w:rPr>
            </w:pPr>
            <w:r w:rsidRPr="002F404B">
              <w:rPr>
                <w:rFonts w:ascii="Arial" w:hAnsi="Arial" w:cs="Arial"/>
                <w:b/>
                <w:bCs/>
                <w:sz w:val="18"/>
                <w:szCs w:val="18"/>
              </w:rPr>
              <w:t>2015</w:t>
            </w:r>
          </w:p>
        </w:tc>
        <w:tc>
          <w:tcPr>
            <w:tcW w:w="1009" w:type="dxa"/>
            <w:tcBorders>
              <w:top w:val="single" w:sz="12" w:space="0" w:color="auto"/>
              <w:bottom w:val="single" w:sz="12" w:space="0" w:color="auto"/>
            </w:tcBorders>
            <w:shd w:val="clear" w:color="auto" w:fill="auto"/>
            <w:vAlign w:val="center"/>
            <w:hideMark/>
          </w:tcPr>
          <w:p w:rsidR="00CD4514" w:rsidRPr="002F404B" w:rsidRDefault="00CD4514" w:rsidP="00477F96">
            <w:pPr>
              <w:pStyle w:val="BodyText3"/>
              <w:spacing w:after="0" w:line="240" w:lineRule="auto"/>
              <w:jc w:val="center"/>
              <w:rPr>
                <w:rFonts w:ascii="Arial" w:hAnsi="Arial" w:cs="Arial"/>
                <w:b/>
                <w:bCs/>
                <w:sz w:val="18"/>
                <w:szCs w:val="18"/>
              </w:rPr>
            </w:pPr>
            <w:r w:rsidRPr="002F404B">
              <w:rPr>
                <w:rFonts w:ascii="Arial" w:hAnsi="Arial" w:cs="Arial"/>
                <w:b/>
                <w:bCs/>
                <w:sz w:val="18"/>
                <w:szCs w:val="18"/>
              </w:rPr>
              <w:t>2016</w:t>
            </w:r>
          </w:p>
        </w:tc>
        <w:tc>
          <w:tcPr>
            <w:tcW w:w="1008" w:type="dxa"/>
            <w:tcBorders>
              <w:top w:val="single" w:sz="12" w:space="0" w:color="auto"/>
              <w:bottom w:val="single" w:sz="12" w:space="0" w:color="auto"/>
            </w:tcBorders>
            <w:shd w:val="clear" w:color="auto" w:fill="auto"/>
            <w:vAlign w:val="center"/>
            <w:hideMark/>
          </w:tcPr>
          <w:p w:rsidR="00CD4514" w:rsidRPr="002F404B" w:rsidRDefault="00CD4514" w:rsidP="00477F96">
            <w:pPr>
              <w:pStyle w:val="BodyText3"/>
              <w:spacing w:after="0" w:line="240" w:lineRule="auto"/>
              <w:jc w:val="center"/>
              <w:rPr>
                <w:rFonts w:ascii="Arial" w:hAnsi="Arial" w:cs="Arial"/>
                <w:b/>
                <w:bCs/>
                <w:sz w:val="18"/>
                <w:szCs w:val="18"/>
              </w:rPr>
            </w:pPr>
            <w:r w:rsidRPr="002F404B">
              <w:rPr>
                <w:rFonts w:ascii="Arial" w:hAnsi="Arial" w:cs="Arial"/>
                <w:b/>
                <w:bCs/>
                <w:sz w:val="18"/>
                <w:szCs w:val="18"/>
              </w:rPr>
              <w:t>2017</w:t>
            </w:r>
          </w:p>
        </w:tc>
        <w:tc>
          <w:tcPr>
            <w:tcW w:w="1009" w:type="dxa"/>
            <w:tcBorders>
              <w:top w:val="single" w:sz="12" w:space="0" w:color="auto"/>
              <w:bottom w:val="single" w:sz="12" w:space="0" w:color="auto"/>
            </w:tcBorders>
            <w:shd w:val="clear" w:color="auto" w:fill="auto"/>
            <w:vAlign w:val="center"/>
            <w:hideMark/>
          </w:tcPr>
          <w:p w:rsidR="00CD4514" w:rsidRPr="002F404B" w:rsidRDefault="00CD4514" w:rsidP="00477F96">
            <w:pPr>
              <w:pStyle w:val="BodyText3"/>
              <w:spacing w:after="0" w:line="240" w:lineRule="auto"/>
              <w:jc w:val="center"/>
              <w:rPr>
                <w:rFonts w:ascii="Arial" w:hAnsi="Arial" w:cs="Arial"/>
                <w:b/>
                <w:bCs/>
                <w:sz w:val="18"/>
                <w:szCs w:val="18"/>
              </w:rPr>
            </w:pPr>
            <w:r w:rsidRPr="002F404B">
              <w:rPr>
                <w:rFonts w:ascii="Arial" w:hAnsi="Arial" w:cs="Arial"/>
                <w:b/>
                <w:bCs/>
                <w:sz w:val="18"/>
                <w:szCs w:val="18"/>
              </w:rPr>
              <w:t>2018</w:t>
            </w:r>
          </w:p>
        </w:tc>
      </w:tr>
      <w:tr w:rsidR="00CD4514" w:rsidRPr="00A77491" w:rsidTr="00321527">
        <w:trPr>
          <w:trHeight w:val="340"/>
          <w:jc w:val="center"/>
        </w:trPr>
        <w:tc>
          <w:tcPr>
            <w:tcW w:w="9072" w:type="dxa"/>
            <w:gridSpan w:val="7"/>
            <w:tcBorders>
              <w:top w:val="single" w:sz="12" w:space="0" w:color="auto"/>
              <w:bottom w:val="single" w:sz="12" w:space="0" w:color="auto"/>
            </w:tcBorders>
            <w:shd w:val="clear" w:color="000000" w:fill="BFBFBF"/>
            <w:vAlign w:val="center"/>
            <w:hideMark/>
          </w:tcPr>
          <w:p w:rsidR="00CD4514" w:rsidRPr="002F404B" w:rsidRDefault="00CD4514" w:rsidP="00477F96">
            <w:pPr>
              <w:spacing w:after="0" w:line="240" w:lineRule="auto"/>
              <w:jc w:val="center"/>
              <w:rPr>
                <w:rFonts w:ascii="Arial" w:hAnsi="Arial" w:cs="Arial"/>
                <w:b/>
                <w:bCs/>
                <w:sz w:val="18"/>
                <w:szCs w:val="18"/>
              </w:rPr>
            </w:pPr>
            <w:r w:rsidRPr="002F404B">
              <w:rPr>
                <w:rFonts w:ascii="Arial" w:hAnsi="Arial" w:cs="Arial"/>
                <w:b/>
                <w:bCs/>
                <w:sz w:val="18"/>
                <w:szCs w:val="18"/>
              </w:rPr>
              <w:t>Palestine</w:t>
            </w:r>
          </w:p>
        </w:tc>
      </w:tr>
      <w:tr w:rsidR="00321527" w:rsidRPr="00A77491" w:rsidTr="00321527">
        <w:trPr>
          <w:trHeight w:val="340"/>
          <w:jc w:val="center"/>
        </w:trPr>
        <w:tc>
          <w:tcPr>
            <w:tcW w:w="3021" w:type="dxa"/>
            <w:tcBorders>
              <w:top w:val="single" w:sz="12" w:space="0" w:color="auto"/>
            </w:tcBorders>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Agriculture</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6,348.2</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5,810.8</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6,366.3</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6,903.2</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7,195.6</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8,120.4</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Industry</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19,850.2</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17,844.7</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15,763.1</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15,862.4</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16,537.7</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17,645.4</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Construction</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13,076.9</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10,323.7</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10,079.2</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10,094.4</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10,272.3</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10,778.0</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Wholesale and Retail Trade</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15,833.7</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15,051.9</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14,855.5</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14,867.7</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15,724.4</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17,349.1</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tl/>
              </w:rPr>
            </w:pPr>
            <w:r w:rsidRPr="002F404B">
              <w:rPr>
                <w:rFonts w:ascii="Arial" w:hAnsi="Arial" w:cs="Arial"/>
                <w:sz w:val="18"/>
                <w:szCs w:val="18"/>
              </w:rPr>
              <w:t xml:space="preserve">Transportation and Storage </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4,089.0</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4,789.5</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5,022.8</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5,614.6</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5,514.4</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5,591.7</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Information and Communications</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71,405.4</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64,557.0</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62,132.5</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55,886.6</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50,623.8</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47,427.2</w:t>
            </w:r>
          </w:p>
        </w:tc>
      </w:tr>
      <w:tr w:rsidR="00321527" w:rsidRPr="00A77491" w:rsidTr="00321527">
        <w:trPr>
          <w:trHeight w:val="340"/>
          <w:jc w:val="center"/>
        </w:trPr>
        <w:tc>
          <w:tcPr>
            <w:tcW w:w="3021" w:type="dxa"/>
            <w:tcBorders>
              <w:bottom w:val="nil"/>
            </w:tcBorders>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 xml:space="preserve">Services and Other Branches**                                                                         </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14,416.8</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14,476.1</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14,072.3</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14,761.1</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15,215.6</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15,032.2</w:t>
            </w:r>
          </w:p>
        </w:tc>
      </w:tr>
      <w:tr w:rsidR="00CD4514" w:rsidRPr="00A77491" w:rsidTr="00321527">
        <w:trPr>
          <w:trHeight w:val="340"/>
          <w:jc w:val="center"/>
        </w:trPr>
        <w:tc>
          <w:tcPr>
            <w:tcW w:w="9072" w:type="dxa"/>
            <w:gridSpan w:val="7"/>
            <w:tcBorders>
              <w:top w:val="single" w:sz="12" w:space="0" w:color="auto"/>
              <w:bottom w:val="single" w:sz="12" w:space="0" w:color="auto"/>
            </w:tcBorders>
            <w:shd w:val="clear" w:color="000000" w:fill="BFBFBF"/>
            <w:vAlign w:val="center"/>
            <w:hideMark/>
          </w:tcPr>
          <w:p w:rsidR="00CD4514" w:rsidRPr="002F404B" w:rsidRDefault="00CD4514" w:rsidP="00477F96">
            <w:pPr>
              <w:pStyle w:val="Footer"/>
              <w:tabs>
                <w:tab w:val="clear" w:pos="4153"/>
                <w:tab w:val="clear" w:pos="8306"/>
              </w:tabs>
              <w:jc w:val="center"/>
              <w:rPr>
                <w:rFonts w:ascii="Arial" w:hAnsi="Arial" w:cs="Arial"/>
                <w:b/>
                <w:bCs/>
                <w:sz w:val="18"/>
                <w:szCs w:val="18"/>
              </w:rPr>
            </w:pPr>
            <w:r w:rsidRPr="002F404B">
              <w:rPr>
                <w:rFonts w:ascii="Arial" w:hAnsi="Arial" w:cs="Arial"/>
                <w:b/>
                <w:bCs/>
                <w:sz w:val="18"/>
                <w:szCs w:val="18"/>
              </w:rPr>
              <w:t>West Bank</w:t>
            </w:r>
          </w:p>
        </w:tc>
      </w:tr>
      <w:tr w:rsidR="00321527" w:rsidRPr="00A77491" w:rsidTr="00321527">
        <w:trPr>
          <w:trHeight w:val="340"/>
          <w:jc w:val="center"/>
        </w:trPr>
        <w:tc>
          <w:tcPr>
            <w:tcW w:w="3021" w:type="dxa"/>
            <w:tcBorders>
              <w:top w:val="single" w:sz="12" w:space="0" w:color="auto"/>
            </w:tcBorders>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Agriculture</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5,559.3</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5,503.2</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5,866.7</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6,368.8</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6,773.5</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7,729.7</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Industry</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18,225.2</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16,637.3</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15,046.1</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15,113.5</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16,205.8</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17,470.0</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Construction</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10,272.9</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9,618.8</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9,685.2</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9,328.2</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9,469.3</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9,666.2</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Wholesale and Retail Trade</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17,760.8</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16,002.8</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15,898.6</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16,316.1</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16,915.9</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18,591.9</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tl/>
              </w:rPr>
            </w:pPr>
            <w:r w:rsidRPr="002F404B">
              <w:rPr>
                <w:rFonts w:ascii="Arial" w:hAnsi="Arial" w:cs="Arial"/>
                <w:sz w:val="18"/>
                <w:szCs w:val="18"/>
              </w:rPr>
              <w:t xml:space="preserve">Transportation and Storage </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5,970.6</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5,959.0</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6,743.4</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7,287.6</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7,697.2</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7,584.7</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Information and Communications</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99,076.9</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93,735.8</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96,346.2</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82,281.3</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72,926.5</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64,000.0</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 xml:space="preserve">Services and Other Branches**                                                                         </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16,575.7</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17,085.5</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16,646.5</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17,457.2</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20,021.8</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19,567.9</w:t>
            </w:r>
          </w:p>
        </w:tc>
      </w:tr>
      <w:tr w:rsidR="00CD4514" w:rsidRPr="00A77491" w:rsidTr="00321527">
        <w:trPr>
          <w:trHeight w:val="340"/>
          <w:jc w:val="center"/>
        </w:trPr>
        <w:tc>
          <w:tcPr>
            <w:tcW w:w="9072" w:type="dxa"/>
            <w:gridSpan w:val="7"/>
            <w:tcBorders>
              <w:top w:val="single" w:sz="12" w:space="0" w:color="auto"/>
              <w:bottom w:val="single" w:sz="12" w:space="0" w:color="auto"/>
            </w:tcBorders>
            <w:shd w:val="clear" w:color="000000" w:fill="BFBFBF"/>
            <w:vAlign w:val="center"/>
            <w:hideMark/>
          </w:tcPr>
          <w:p w:rsidR="00CD4514" w:rsidRPr="002F404B" w:rsidRDefault="00CD4514" w:rsidP="00477F96">
            <w:pPr>
              <w:spacing w:after="0" w:line="240" w:lineRule="auto"/>
              <w:jc w:val="center"/>
              <w:rPr>
                <w:rFonts w:ascii="Arial" w:hAnsi="Arial" w:cs="Arial"/>
                <w:b/>
                <w:bCs/>
                <w:sz w:val="18"/>
                <w:szCs w:val="18"/>
              </w:rPr>
            </w:pPr>
            <w:r w:rsidRPr="002F404B">
              <w:rPr>
                <w:rFonts w:ascii="Arial" w:hAnsi="Arial" w:cs="Arial"/>
                <w:b/>
                <w:bCs/>
                <w:sz w:val="18"/>
                <w:szCs w:val="18"/>
              </w:rPr>
              <w:t>Gaza Strip</w:t>
            </w:r>
          </w:p>
        </w:tc>
      </w:tr>
      <w:tr w:rsidR="00321527" w:rsidRPr="00A77491" w:rsidTr="00321527">
        <w:trPr>
          <w:trHeight w:val="340"/>
          <w:jc w:val="center"/>
        </w:trPr>
        <w:tc>
          <w:tcPr>
            <w:tcW w:w="3021" w:type="dxa"/>
            <w:tcBorders>
              <w:top w:val="single" w:sz="12" w:space="0" w:color="auto"/>
            </w:tcBorders>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Agriculture</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8,355.3</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6,705.1</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7,807.7</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8,407.6</w:t>
            </w:r>
          </w:p>
        </w:tc>
        <w:tc>
          <w:tcPr>
            <w:tcW w:w="1008"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8,308.7</w:t>
            </w:r>
          </w:p>
        </w:tc>
        <w:tc>
          <w:tcPr>
            <w:tcW w:w="1009" w:type="dxa"/>
            <w:tcBorders>
              <w:top w:val="single" w:sz="12" w:space="0" w:color="auto"/>
            </w:tcBorders>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9,117.2</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Industry</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30,464.8</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25,877.0</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19,726.7</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19,651.9</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18,292.4</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18,664.5</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Construction</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21,198.9</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19,877.6</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12,109.2</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12,844.4</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13,746.9</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20,134.8</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Wholesale and Retail Trade</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12,012.7</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12,554.8</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12,519.9</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11,913.5</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13,107.7</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14,422.4</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tl/>
              </w:rPr>
            </w:pPr>
            <w:r w:rsidRPr="002F404B">
              <w:rPr>
                <w:rFonts w:ascii="Arial" w:hAnsi="Arial" w:cs="Arial"/>
                <w:sz w:val="18"/>
                <w:szCs w:val="18"/>
              </w:rPr>
              <w:t xml:space="preserve">Transportation and Storage </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1,880.0</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2,727.9</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2,402.3</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2,636.9</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2,445.5</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2,962.8</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Information and Communications</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5,818.2</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4,923.1</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4,741.9</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4,697.0</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4,666.7</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5,137.9</w:t>
            </w:r>
          </w:p>
        </w:tc>
      </w:tr>
      <w:tr w:rsidR="00321527" w:rsidRPr="00A77491" w:rsidTr="00321527">
        <w:trPr>
          <w:trHeight w:val="340"/>
          <w:jc w:val="center"/>
        </w:trPr>
        <w:tc>
          <w:tcPr>
            <w:tcW w:w="3021" w:type="dxa"/>
            <w:shd w:val="clear" w:color="auto" w:fill="auto"/>
            <w:vAlign w:val="center"/>
            <w:hideMark/>
          </w:tcPr>
          <w:p w:rsidR="00321527" w:rsidRPr="002F404B" w:rsidRDefault="00321527" w:rsidP="006F4FF3">
            <w:pPr>
              <w:pStyle w:val="Footer"/>
              <w:tabs>
                <w:tab w:val="clear" w:pos="4153"/>
                <w:tab w:val="clear" w:pos="8306"/>
              </w:tabs>
              <w:rPr>
                <w:rFonts w:ascii="Arial" w:hAnsi="Arial" w:cs="Arial"/>
                <w:sz w:val="18"/>
                <w:szCs w:val="18"/>
              </w:rPr>
            </w:pPr>
            <w:r w:rsidRPr="002F404B">
              <w:rPr>
                <w:rFonts w:ascii="Arial" w:hAnsi="Arial" w:cs="Arial"/>
                <w:sz w:val="18"/>
                <w:szCs w:val="18"/>
              </w:rPr>
              <w:t xml:space="preserve">Services and Other Branches**                                                                         </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11,764.6</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11,324.2</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10,905.8</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11,526.7</w:t>
            </w:r>
          </w:p>
        </w:tc>
        <w:tc>
          <w:tcPr>
            <w:tcW w:w="1008"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9,249.7</w:t>
            </w:r>
          </w:p>
        </w:tc>
        <w:tc>
          <w:tcPr>
            <w:tcW w:w="1009" w:type="dxa"/>
            <w:shd w:val="clear" w:color="auto" w:fill="auto"/>
            <w:vAlign w:val="center"/>
            <w:hideMark/>
          </w:tcPr>
          <w:p w:rsidR="00321527" w:rsidRPr="002F404B" w:rsidRDefault="00321527" w:rsidP="00477F96">
            <w:pPr>
              <w:pStyle w:val="Footer"/>
              <w:tabs>
                <w:tab w:val="clear" w:pos="4153"/>
                <w:tab w:val="clear" w:pos="8306"/>
              </w:tabs>
              <w:jc w:val="right"/>
              <w:rPr>
                <w:rFonts w:ascii="Arial" w:hAnsi="Arial" w:cs="Arial"/>
                <w:sz w:val="18"/>
                <w:szCs w:val="18"/>
              </w:rPr>
            </w:pPr>
            <w:r w:rsidRPr="002F404B">
              <w:rPr>
                <w:rFonts w:ascii="Arial" w:hAnsi="Arial" w:cs="Arial"/>
                <w:sz w:val="18"/>
                <w:szCs w:val="18"/>
              </w:rPr>
              <w:t>8,741.9</w:t>
            </w:r>
          </w:p>
        </w:tc>
      </w:tr>
    </w:tbl>
    <w:p w:rsidR="00CD4514" w:rsidRPr="008A63DE" w:rsidRDefault="00CD4514" w:rsidP="00477F96">
      <w:pPr>
        <w:shd w:val="clear" w:color="auto" w:fill="FFFFFF" w:themeFill="background1"/>
        <w:spacing w:after="0" w:line="240" w:lineRule="auto"/>
        <w:ind w:hanging="142"/>
        <w:jc w:val="both"/>
        <w:rPr>
          <w:rFonts w:ascii="Times New Roman" w:hAnsi="Times New Roman" w:cs="Times New Roman"/>
          <w:sz w:val="18"/>
          <w:szCs w:val="18"/>
        </w:rPr>
      </w:pPr>
      <w:r w:rsidRPr="008A63DE">
        <w:rPr>
          <w:rFonts w:ascii="Times New Roman" w:hAnsi="Times New Roman" w:cs="Times New Roman"/>
          <w:sz w:val="18"/>
          <w:szCs w:val="18"/>
        </w:rPr>
        <w:t xml:space="preserve">  </w:t>
      </w:r>
      <w:r w:rsidR="008869CE" w:rsidRPr="008A63DE">
        <w:rPr>
          <w:rFonts w:ascii="Times New Roman" w:hAnsi="Times New Roman" w:cs="Times New Roman"/>
          <w:sz w:val="18"/>
          <w:szCs w:val="18"/>
        </w:rPr>
        <w:t xml:space="preserve"> </w:t>
      </w:r>
      <w:r w:rsidRPr="008A63DE">
        <w:rPr>
          <w:rFonts w:ascii="Times New Roman" w:hAnsi="Times New Roman" w:cs="Times New Roman"/>
          <w:sz w:val="18"/>
          <w:szCs w:val="18"/>
        </w:rPr>
        <w:t xml:space="preserve">* Average value added per employed person = value added / number of employed </w:t>
      </w:r>
      <w:r w:rsidR="00321527" w:rsidRPr="008A63DE">
        <w:rPr>
          <w:rFonts w:ascii="Times New Roman" w:hAnsi="Times New Roman" w:cs="Times New Roman"/>
          <w:sz w:val="18"/>
          <w:szCs w:val="18"/>
        </w:rPr>
        <w:t>persons doesn’t include the employed persons</w:t>
      </w:r>
      <w:r w:rsidRPr="008A63DE">
        <w:rPr>
          <w:rFonts w:ascii="Times New Roman" w:hAnsi="Times New Roman" w:cs="Times New Roman"/>
          <w:sz w:val="18"/>
          <w:szCs w:val="18"/>
        </w:rPr>
        <w:t xml:space="preserve"> in Israel and settlements and abroad.</w:t>
      </w:r>
    </w:p>
    <w:p w:rsidR="00CD4514" w:rsidRPr="008A63DE" w:rsidRDefault="00CD4514" w:rsidP="00477F96">
      <w:pPr>
        <w:shd w:val="clear" w:color="auto" w:fill="FFFFFF" w:themeFill="background1"/>
        <w:spacing w:after="0" w:line="240" w:lineRule="auto"/>
        <w:ind w:hanging="142"/>
        <w:jc w:val="both"/>
        <w:rPr>
          <w:rFonts w:ascii="Times New Roman" w:hAnsi="Times New Roman" w:cs="Times New Roman"/>
          <w:snapToGrid w:val="0"/>
          <w:sz w:val="18"/>
          <w:szCs w:val="18"/>
        </w:rPr>
      </w:pPr>
      <w:r w:rsidRPr="008A63DE">
        <w:rPr>
          <w:rFonts w:ascii="Times New Roman" w:hAnsi="Times New Roman" w:cs="Times New Roman"/>
          <w:sz w:val="18"/>
          <w:szCs w:val="18"/>
        </w:rPr>
        <w:t xml:space="preserve"> </w:t>
      </w:r>
      <w:r w:rsidR="008869CE" w:rsidRPr="008A63DE">
        <w:rPr>
          <w:rFonts w:ascii="Times New Roman" w:hAnsi="Times New Roman" w:cs="Times New Roman"/>
          <w:sz w:val="18"/>
          <w:szCs w:val="18"/>
        </w:rPr>
        <w:t xml:space="preserve"> </w:t>
      </w:r>
      <w:r w:rsidRPr="008A63DE">
        <w:rPr>
          <w:rFonts w:ascii="Times New Roman" w:hAnsi="Times New Roman" w:cs="Times New Roman"/>
          <w:sz w:val="18"/>
          <w:szCs w:val="18"/>
        </w:rPr>
        <w:t xml:space="preserve"> **</w:t>
      </w:r>
      <w:r w:rsidRPr="008A63DE">
        <w:rPr>
          <w:rFonts w:ascii="Times New Roman" w:hAnsi="Times New Roman" w:cs="Times New Roman"/>
          <w:b/>
          <w:bCs/>
          <w:sz w:val="24"/>
          <w:szCs w:val="24"/>
        </w:rPr>
        <w:t xml:space="preserve"> </w:t>
      </w:r>
      <w:r w:rsidRPr="008A63DE">
        <w:rPr>
          <w:rFonts w:ascii="Times New Roman" w:hAnsi="Times New Roman" w:cs="Times New Roman"/>
          <w:sz w:val="18"/>
          <w:szCs w:val="18"/>
        </w:rPr>
        <w:t>Including government employees</w:t>
      </w:r>
      <w:r w:rsidRPr="008A63DE">
        <w:rPr>
          <w:rFonts w:ascii="Times New Roman" w:hAnsi="Times New Roman" w:cs="Times New Roman"/>
          <w:snapToGrid w:val="0"/>
          <w:sz w:val="18"/>
          <w:szCs w:val="18"/>
        </w:rPr>
        <w:t xml:space="preserve">.                                                        </w:t>
      </w:r>
      <w:r w:rsidRPr="008A63DE">
        <w:rPr>
          <w:rFonts w:ascii="Times New Roman" w:hAnsi="Times New Roman" w:cs="Times New Roman"/>
          <w:snapToGrid w:val="0"/>
          <w:sz w:val="18"/>
          <w:szCs w:val="18"/>
        </w:rPr>
        <w:tab/>
      </w:r>
    </w:p>
    <w:p w:rsidR="00CD4514" w:rsidRDefault="00CD4514" w:rsidP="00477F96">
      <w:pPr>
        <w:shd w:val="clear" w:color="auto" w:fill="FFFFFF" w:themeFill="background1"/>
        <w:spacing w:after="0" w:line="240" w:lineRule="auto"/>
        <w:ind w:hanging="142"/>
        <w:jc w:val="both"/>
        <w:rPr>
          <w:rFonts w:ascii="Times New Roman" w:hAnsi="Times New Roman" w:cs="Times New Roman"/>
          <w:b/>
          <w:bCs/>
          <w:sz w:val="24"/>
          <w:szCs w:val="24"/>
        </w:rPr>
      </w:pPr>
      <w:r w:rsidRPr="00477F96">
        <w:rPr>
          <w:rFonts w:ascii="Times New Roman" w:hAnsi="Times New Roman" w:cs="Times New Roman"/>
          <w:b/>
          <w:bCs/>
          <w:sz w:val="24"/>
          <w:szCs w:val="24"/>
        </w:rPr>
        <w:t xml:space="preserve"> </w:t>
      </w:r>
    </w:p>
    <w:p w:rsidR="00CD4514" w:rsidRPr="00F7671A" w:rsidRDefault="00A714EA" w:rsidP="00477F96">
      <w:pPr>
        <w:spacing w:after="0" w:line="240" w:lineRule="auto"/>
        <w:jc w:val="both"/>
        <w:rPr>
          <w:rFonts w:ascii="Times New Roman" w:hAnsi="Times New Roman" w:cs="Times New Roman"/>
          <w:b/>
          <w:bCs/>
          <w:sz w:val="24"/>
          <w:szCs w:val="24"/>
        </w:rPr>
      </w:pPr>
      <w:r w:rsidRPr="00F7671A">
        <w:rPr>
          <w:rFonts w:ascii="Times New Roman" w:hAnsi="Times New Roman" w:cs="Times New Roman"/>
          <w:b/>
          <w:bCs/>
          <w:sz w:val="24"/>
          <w:szCs w:val="24"/>
        </w:rPr>
        <w:t xml:space="preserve">1.3 </w:t>
      </w:r>
      <w:r w:rsidR="00CD4514" w:rsidRPr="00F7671A">
        <w:rPr>
          <w:rFonts w:ascii="Times New Roman" w:hAnsi="Times New Roman" w:cs="Times New Roman"/>
          <w:b/>
          <w:bCs/>
          <w:sz w:val="24"/>
          <w:szCs w:val="24"/>
        </w:rPr>
        <w:t>Prices and Purchasing Power</w:t>
      </w:r>
    </w:p>
    <w:p w:rsidR="00CD4514" w:rsidRDefault="00CD4514" w:rsidP="00477F96">
      <w:pPr>
        <w:autoSpaceDE w:val="0"/>
        <w:autoSpaceDN w:val="0"/>
        <w:adjustRightInd w:val="0"/>
        <w:spacing w:after="0" w:line="240" w:lineRule="auto"/>
        <w:jc w:val="both"/>
        <w:rPr>
          <w:rFonts w:ascii="Times New Roman" w:eastAsiaTheme="minorHAnsi" w:hAnsi="Times New Roman" w:cs="Times New Roman"/>
          <w:sz w:val="24"/>
          <w:szCs w:val="24"/>
        </w:rPr>
      </w:pPr>
      <w:r w:rsidRPr="00477F96">
        <w:rPr>
          <w:rFonts w:ascii="Times New Roman" w:eastAsiaTheme="minorHAnsi" w:hAnsi="Times New Roman" w:cs="Times New Roman"/>
          <w:sz w:val="24"/>
          <w:szCs w:val="24"/>
        </w:rPr>
        <w:t xml:space="preserve">The cost of living </w:t>
      </w:r>
      <w:r w:rsidRPr="00477F96">
        <w:rPr>
          <w:rFonts w:ascii="Times New Roman" w:eastAsiaTheme="minorHAnsi" w:hAnsi="Times New Roman" w:cs="Times New Roman"/>
          <w:sz w:val="24"/>
          <w:szCs w:val="24"/>
          <w:lang w:val="en-US"/>
        </w:rPr>
        <w:t xml:space="preserve">index </w:t>
      </w:r>
      <w:r w:rsidRPr="00477F96">
        <w:rPr>
          <w:rFonts w:ascii="Times New Roman" w:eastAsiaTheme="minorHAnsi" w:hAnsi="Times New Roman" w:cs="Times New Roman"/>
          <w:sz w:val="24"/>
          <w:szCs w:val="24"/>
        </w:rPr>
        <w:t>(consumer price index - CPI) recorded a slight decrease by 0.19% in Palestine during 2018, compared to 2017, reaching 110.77 (base year 2010). (See figure below). The decline resulted mainly from the decrease in the textiles, clothing and footwear group by 4.25%</w:t>
      </w:r>
      <w:proofErr w:type="gramStart"/>
      <w:r w:rsidRPr="00477F96">
        <w:rPr>
          <w:rFonts w:ascii="Times New Roman" w:eastAsiaTheme="minorHAnsi" w:hAnsi="Times New Roman" w:cs="Times New Roman"/>
          <w:sz w:val="24"/>
          <w:szCs w:val="24"/>
        </w:rPr>
        <w:t>,</w:t>
      </w:r>
      <w:proofErr w:type="gramEnd"/>
      <w:r w:rsidRPr="00477F96">
        <w:rPr>
          <w:rFonts w:ascii="Times New Roman" w:eastAsiaTheme="minorHAnsi" w:hAnsi="Times New Roman" w:cs="Times New Roman"/>
          <w:sz w:val="24"/>
          <w:szCs w:val="24"/>
        </w:rPr>
        <w:t xml:space="preserve"> it was followed by alcoholic beverages and tobacco by 1.29%, education group by 1.07%, furniture, household goods group by 0.95% and food and soft drinks </w:t>
      </w:r>
      <w:r w:rsidR="008A63DE">
        <w:rPr>
          <w:rFonts w:ascii="Times New Roman" w:eastAsiaTheme="minorHAnsi" w:hAnsi="Times New Roman" w:cs="Times New Roman"/>
          <w:sz w:val="24"/>
          <w:szCs w:val="24"/>
        </w:rPr>
        <w:t xml:space="preserve">          </w:t>
      </w:r>
      <w:r w:rsidRPr="00477F96">
        <w:rPr>
          <w:rFonts w:ascii="Times New Roman" w:eastAsiaTheme="minorHAnsi" w:hAnsi="Times New Roman" w:cs="Times New Roman"/>
          <w:sz w:val="24"/>
          <w:szCs w:val="24"/>
        </w:rPr>
        <w:t>by 0.70%.</w:t>
      </w:r>
    </w:p>
    <w:p w:rsidR="00D97CA4" w:rsidRDefault="00D97CA4" w:rsidP="00477F96">
      <w:pPr>
        <w:autoSpaceDE w:val="0"/>
        <w:autoSpaceDN w:val="0"/>
        <w:adjustRightInd w:val="0"/>
        <w:spacing w:after="0" w:line="240" w:lineRule="auto"/>
        <w:jc w:val="both"/>
        <w:rPr>
          <w:rFonts w:ascii="Times New Roman" w:eastAsiaTheme="minorHAnsi" w:hAnsi="Times New Roman" w:cs="Times New Roman"/>
          <w:sz w:val="24"/>
          <w:szCs w:val="24"/>
        </w:rPr>
      </w:pPr>
    </w:p>
    <w:p w:rsidR="00D97CA4" w:rsidRDefault="00D97CA4" w:rsidP="00477F96">
      <w:pPr>
        <w:autoSpaceDE w:val="0"/>
        <w:autoSpaceDN w:val="0"/>
        <w:adjustRightInd w:val="0"/>
        <w:spacing w:after="0" w:line="240" w:lineRule="auto"/>
        <w:jc w:val="both"/>
        <w:rPr>
          <w:rFonts w:ascii="Times New Roman" w:eastAsiaTheme="minorHAnsi" w:hAnsi="Times New Roman" w:cs="Times New Roman"/>
          <w:sz w:val="24"/>
          <w:szCs w:val="24"/>
        </w:rPr>
      </w:pPr>
    </w:p>
    <w:p w:rsidR="00D97CA4" w:rsidRDefault="00D97CA4" w:rsidP="00477F96">
      <w:pPr>
        <w:autoSpaceDE w:val="0"/>
        <w:autoSpaceDN w:val="0"/>
        <w:adjustRightInd w:val="0"/>
        <w:spacing w:after="0" w:line="240" w:lineRule="auto"/>
        <w:jc w:val="both"/>
        <w:rPr>
          <w:rFonts w:ascii="Times New Roman" w:eastAsiaTheme="minorHAnsi" w:hAnsi="Times New Roman" w:cs="Times New Roman"/>
          <w:sz w:val="24"/>
          <w:szCs w:val="24"/>
        </w:rPr>
      </w:pPr>
    </w:p>
    <w:p w:rsidR="00D97CA4" w:rsidRDefault="00D97CA4" w:rsidP="00477F96">
      <w:pPr>
        <w:autoSpaceDE w:val="0"/>
        <w:autoSpaceDN w:val="0"/>
        <w:adjustRightInd w:val="0"/>
        <w:spacing w:after="0" w:line="240" w:lineRule="auto"/>
        <w:jc w:val="both"/>
        <w:rPr>
          <w:rFonts w:ascii="Times New Roman" w:eastAsiaTheme="minorHAnsi" w:hAnsi="Times New Roman" w:cs="Times New Roman"/>
          <w:sz w:val="24"/>
          <w:szCs w:val="24"/>
        </w:rPr>
      </w:pPr>
    </w:p>
    <w:p w:rsidR="00D97CA4" w:rsidRPr="00477F96" w:rsidRDefault="00D97CA4" w:rsidP="00477F96">
      <w:pPr>
        <w:autoSpaceDE w:val="0"/>
        <w:autoSpaceDN w:val="0"/>
        <w:adjustRightInd w:val="0"/>
        <w:spacing w:after="0" w:line="240" w:lineRule="auto"/>
        <w:jc w:val="both"/>
        <w:rPr>
          <w:rFonts w:ascii="Times New Roman" w:eastAsiaTheme="minorHAnsi" w:hAnsi="Times New Roman" w:cs="Times New Roman"/>
          <w:sz w:val="24"/>
          <w:szCs w:val="24"/>
        </w:rPr>
      </w:pPr>
    </w:p>
    <w:p w:rsidR="00CD4514" w:rsidRPr="00A714EA" w:rsidRDefault="00CD4514" w:rsidP="00477F96">
      <w:pPr>
        <w:spacing w:after="0" w:line="240" w:lineRule="auto"/>
        <w:jc w:val="center"/>
        <w:rPr>
          <w:rFonts w:ascii="Arial" w:hAnsi="Arial" w:cs="Arial"/>
          <w:b/>
          <w:bCs/>
        </w:rPr>
      </w:pPr>
      <w:r w:rsidRPr="00A714EA">
        <w:rPr>
          <w:rFonts w:ascii="Arial" w:hAnsi="Arial" w:cs="Arial"/>
          <w:b/>
          <w:bCs/>
        </w:rPr>
        <w:lastRenderedPageBreak/>
        <w:t xml:space="preserve">Trend in consumer price </w:t>
      </w:r>
      <w:r w:rsidR="00EF105D">
        <w:rPr>
          <w:rFonts w:ascii="Arial" w:hAnsi="Arial" w:cs="Arial"/>
          <w:b/>
          <w:bCs/>
        </w:rPr>
        <w:t>index (CPI) in Palestine, 2010-</w:t>
      </w:r>
      <w:r w:rsidRPr="00A714EA">
        <w:rPr>
          <w:rFonts w:ascii="Arial" w:hAnsi="Arial" w:cs="Arial"/>
          <w:b/>
          <w:bCs/>
        </w:rPr>
        <w:t>2018</w:t>
      </w:r>
    </w:p>
    <w:tbl>
      <w:tblPr>
        <w:tblStyle w:val="TableGrid"/>
        <w:tblW w:w="0" w:type="auto"/>
        <w:jc w:val="center"/>
        <w:tblInd w:w="-351" w:type="dxa"/>
        <w:tblLayout w:type="fixed"/>
        <w:tblLook w:val="04A0"/>
      </w:tblPr>
      <w:tblGrid>
        <w:gridCol w:w="9000"/>
      </w:tblGrid>
      <w:tr w:rsidR="00CD4514" w:rsidRPr="00477F96" w:rsidTr="009F0F85">
        <w:trPr>
          <w:jc w:val="center"/>
        </w:trPr>
        <w:tc>
          <w:tcPr>
            <w:tcW w:w="9000" w:type="dxa"/>
          </w:tcPr>
          <w:p w:rsidR="00CD4514" w:rsidRPr="00477F96" w:rsidRDefault="00CD4514" w:rsidP="00477F96">
            <w:pPr>
              <w:jc w:val="center"/>
              <w:rPr>
                <w:rFonts w:ascii="Times New Roman" w:hAnsi="Times New Roman" w:cs="Times New Roman"/>
                <w:b/>
                <w:bCs/>
                <w:sz w:val="24"/>
                <w:szCs w:val="24"/>
              </w:rPr>
            </w:pPr>
            <w:r w:rsidRPr="00477F96">
              <w:rPr>
                <w:rFonts w:ascii="Times New Roman" w:hAnsi="Times New Roman" w:cs="Times New Roman"/>
                <w:b/>
                <w:bCs/>
                <w:noProof/>
                <w:sz w:val="24"/>
                <w:szCs w:val="24"/>
              </w:rPr>
              <w:drawing>
                <wp:inline distT="0" distB="0" distL="0" distR="0">
                  <wp:extent cx="5049078" cy="2504661"/>
                  <wp:effectExtent l="19050" t="0" r="0" b="0"/>
                  <wp:docPr id="22"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CD4514" w:rsidRPr="00477F96" w:rsidRDefault="00CD4514" w:rsidP="00477F96">
      <w:pPr>
        <w:spacing w:after="0" w:line="240" w:lineRule="auto"/>
        <w:jc w:val="both"/>
        <w:rPr>
          <w:rFonts w:ascii="Times New Roman" w:hAnsi="Times New Roman" w:cs="Times New Roman"/>
          <w:b/>
          <w:bCs/>
          <w:sz w:val="24"/>
          <w:szCs w:val="24"/>
        </w:rPr>
      </w:pPr>
    </w:p>
    <w:p w:rsidR="00CD4514" w:rsidRDefault="00CD4514" w:rsidP="00477F96">
      <w:pPr>
        <w:spacing w:after="0" w:line="240" w:lineRule="auto"/>
        <w:jc w:val="both"/>
        <w:rPr>
          <w:rFonts w:ascii="Times New Roman" w:hAnsi="Times New Roman" w:cs="Times New Roman"/>
          <w:b/>
          <w:bCs/>
          <w:sz w:val="24"/>
          <w:szCs w:val="24"/>
        </w:rPr>
      </w:pPr>
      <w:r w:rsidRPr="00477F96">
        <w:rPr>
          <w:rFonts w:ascii="Times New Roman" w:hAnsi="Times New Roman" w:cs="Times New Roman"/>
          <w:b/>
          <w:bCs/>
          <w:sz w:val="24"/>
          <w:szCs w:val="24"/>
        </w:rPr>
        <w:t>Changes in consumer prices varied by region in Palestine in 2018 compared to the previous year; prices decreased by 1.34% in Gaza Strip, while the consumer price index in Jerusalem (J1)</w:t>
      </w:r>
      <w:r w:rsidRPr="00477F96">
        <w:rPr>
          <w:rFonts w:ascii="Times New Roman" w:hAnsi="Times New Roman" w:cs="Times New Roman"/>
          <w:sz w:val="24"/>
          <w:szCs w:val="24"/>
          <w:vertAlign w:val="superscript"/>
        </w:rPr>
        <w:footnoteReference w:id="4"/>
      </w:r>
      <w:r w:rsidRPr="00477F96">
        <w:rPr>
          <w:rFonts w:ascii="Times New Roman" w:hAnsi="Times New Roman" w:cs="Times New Roman"/>
          <w:b/>
          <w:bCs/>
          <w:sz w:val="24"/>
          <w:szCs w:val="24"/>
        </w:rPr>
        <w:t xml:space="preserve"> recorded an increase by 1.04%, and by 0.41% in the West Bank</w:t>
      </w:r>
      <w:r w:rsidRPr="00477F96">
        <w:rPr>
          <w:rFonts w:ascii="Times New Roman" w:hAnsi="Times New Roman" w:cs="Times New Roman"/>
          <w:sz w:val="24"/>
          <w:szCs w:val="24"/>
          <w:vertAlign w:val="superscript"/>
        </w:rPr>
        <w:t xml:space="preserve"> </w:t>
      </w:r>
      <w:r w:rsidRPr="00477F96">
        <w:rPr>
          <w:rFonts w:ascii="Times New Roman" w:hAnsi="Times New Roman" w:cs="Times New Roman"/>
          <w:sz w:val="24"/>
          <w:szCs w:val="24"/>
          <w:vertAlign w:val="superscript"/>
        </w:rPr>
        <w:footnoteReference w:id="5"/>
      </w:r>
      <w:r w:rsidRPr="00477F96">
        <w:rPr>
          <w:rFonts w:ascii="Times New Roman" w:hAnsi="Times New Roman" w:cs="Times New Roman"/>
          <w:b/>
          <w:bCs/>
          <w:sz w:val="24"/>
          <w:szCs w:val="24"/>
        </w:rPr>
        <w:t xml:space="preserve">. </w:t>
      </w:r>
    </w:p>
    <w:p w:rsidR="00812EB3" w:rsidRPr="00812EB3" w:rsidRDefault="00812EB3" w:rsidP="00477F96">
      <w:pPr>
        <w:spacing w:after="0" w:line="240" w:lineRule="auto"/>
        <w:jc w:val="both"/>
        <w:rPr>
          <w:rFonts w:ascii="Times New Roman" w:hAnsi="Times New Roman" w:cs="Times New Roman"/>
          <w:b/>
          <w:bCs/>
          <w:sz w:val="18"/>
          <w:szCs w:val="18"/>
        </w:rPr>
      </w:pPr>
    </w:p>
    <w:p w:rsidR="00CD4514" w:rsidRPr="00477F96" w:rsidRDefault="00CD4514" w:rsidP="00477F96">
      <w:pPr>
        <w:tabs>
          <w:tab w:val="left" w:pos="3110"/>
        </w:tabs>
        <w:spacing w:after="0" w:line="240" w:lineRule="auto"/>
        <w:jc w:val="both"/>
        <w:rPr>
          <w:rFonts w:ascii="Times New Roman" w:hAnsi="Times New Roman" w:cs="Times New Roman"/>
          <w:sz w:val="24"/>
          <w:szCs w:val="24"/>
        </w:rPr>
      </w:pPr>
      <w:r w:rsidRPr="00477F96">
        <w:rPr>
          <w:rFonts w:ascii="Times New Roman" w:hAnsi="Times New Roman" w:cs="Times New Roman"/>
          <w:sz w:val="24"/>
          <w:szCs w:val="24"/>
        </w:rPr>
        <w:t xml:space="preserve">Consumer prices in Gaza Strip were mainly triggered by the decrease in the prices of alcoholic beverages and tobacco group by 5.06%, followed by education group by 3.53%, food and soft drinks group by 3.47%, and textiles, clothing and footwear group by 2.45%.  On the other hand, in Jerusalem (J1), the increase in the consumer price index was mainly due to price increase in miscellaneous goods and service group by 4.31%, transportation group 2.56%, housing group 1.71%, and food and soft drinks 0.93%.  And the prices in the West Bank increased due to </w:t>
      </w:r>
      <w:r w:rsidRPr="00477F96">
        <w:rPr>
          <w:rFonts w:ascii="Times New Roman" w:hAnsi="Times New Roman" w:cs="Times New Roman"/>
          <w:sz w:val="24"/>
          <w:szCs w:val="24"/>
          <w:lang w:val="en-US"/>
        </w:rPr>
        <w:t xml:space="preserve">the </w:t>
      </w:r>
      <w:r w:rsidRPr="00477F96">
        <w:rPr>
          <w:rFonts w:ascii="Times New Roman" w:hAnsi="Times New Roman" w:cs="Times New Roman"/>
          <w:sz w:val="24"/>
          <w:szCs w:val="24"/>
        </w:rPr>
        <w:t>increase in the prices of restaurants and cafes group and recreational, cultural goods &amp; services group by 1.70% for each one, alcoholic beverages and tobacco group 1.66%, communications group 1.02% and food and soft drinks group 0.87%.</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tabs>
          <w:tab w:val="left" w:pos="3110"/>
        </w:tabs>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relative weight of main groups of expenditure that make up the consumer price index varies in Palestine.</w:t>
      </w:r>
      <w:r w:rsidRPr="00477F96">
        <w:rPr>
          <w:rFonts w:ascii="Times New Roman" w:hAnsi="Times New Roman" w:cs="Times New Roman"/>
          <w:sz w:val="24"/>
          <w:szCs w:val="24"/>
        </w:rPr>
        <w:t xml:space="preserve">  As Table (7) shows, the food and soft drinks group has a higher relative weight in the consumer basket in Palestine since it constitutes approximately</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35.0% of total consumption. It is followed by transportation approximately 13.8%,</w:t>
      </w:r>
      <w:r w:rsidRPr="00477F96">
        <w:rPr>
          <w:rFonts w:ascii="Times New Roman" w:hAnsi="Times New Roman" w:cs="Times New Roman"/>
          <w:sz w:val="18"/>
          <w:szCs w:val="18"/>
        </w:rPr>
        <w:t xml:space="preserve"> </w:t>
      </w:r>
      <w:r w:rsidRPr="00477F96">
        <w:rPr>
          <w:rFonts w:ascii="Times New Roman" w:hAnsi="Times New Roman" w:cs="Times New Roman"/>
          <w:sz w:val="24"/>
          <w:szCs w:val="24"/>
        </w:rPr>
        <w:t>miscellaneous goods and service approximately</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11.5%, housing approximately</w:t>
      </w:r>
      <w:r w:rsidRPr="00477F96">
        <w:rPr>
          <w:rFonts w:ascii="Times New Roman" w:hAnsi="Times New Roman" w:cs="Times New Roman"/>
          <w:sz w:val="24"/>
          <w:szCs w:val="24"/>
          <w:rtl/>
        </w:rPr>
        <w:t xml:space="preserve"> </w:t>
      </w:r>
      <w:proofErr w:type="gramStart"/>
      <w:r w:rsidRPr="00477F96">
        <w:rPr>
          <w:rFonts w:ascii="Times New Roman" w:hAnsi="Times New Roman" w:cs="Times New Roman"/>
          <w:sz w:val="24"/>
          <w:szCs w:val="24"/>
        </w:rPr>
        <w:t>8.9%,</w:t>
      </w:r>
      <w:proofErr w:type="gramEnd"/>
      <w:r w:rsidRPr="00477F96">
        <w:rPr>
          <w:rFonts w:ascii="Times New Roman" w:hAnsi="Times New Roman" w:cs="Times New Roman"/>
          <w:sz w:val="24"/>
          <w:szCs w:val="24"/>
        </w:rPr>
        <w:t xml:space="preserve"> and textiles, clothing and footwear with approximately</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6.3%,</w:t>
      </w:r>
      <w:r w:rsidRPr="00477F96">
        <w:rPr>
          <w:rFonts w:ascii="Times New Roman" w:hAnsi="Times New Roman" w:cs="Times New Roman"/>
          <w:sz w:val="18"/>
          <w:szCs w:val="18"/>
        </w:rPr>
        <w:t xml:space="preserve"> </w:t>
      </w:r>
      <w:r w:rsidRPr="00477F96">
        <w:rPr>
          <w:rFonts w:ascii="Times New Roman" w:hAnsi="Times New Roman" w:cs="Times New Roman"/>
          <w:sz w:val="24"/>
          <w:szCs w:val="24"/>
        </w:rPr>
        <w:t>recreational, cultural goods and services, and restaurants and cafes occupy a lower proportion of the consumer basket which makes limited effects on the consumer price index.</w:t>
      </w:r>
    </w:p>
    <w:p w:rsidR="00CD4514" w:rsidRPr="00477F96" w:rsidRDefault="00CD4514" w:rsidP="00477F96">
      <w:pPr>
        <w:tabs>
          <w:tab w:val="left" w:pos="3110"/>
        </w:tabs>
        <w:spacing w:after="0" w:line="240" w:lineRule="auto"/>
        <w:jc w:val="both"/>
        <w:rPr>
          <w:rFonts w:ascii="Times New Roman" w:hAnsi="Times New Roman" w:cs="Times New Roman"/>
          <w:sz w:val="24"/>
          <w:szCs w:val="24"/>
        </w:rPr>
      </w:pPr>
    </w:p>
    <w:p w:rsidR="00812EB3" w:rsidRDefault="00812EB3">
      <w:pPr>
        <w:rPr>
          <w:rFonts w:ascii="Arial" w:hAnsi="Arial" w:cs="Arial"/>
          <w:b/>
          <w:bCs/>
        </w:rPr>
      </w:pPr>
      <w:r>
        <w:rPr>
          <w:rFonts w:ascii="Arial" w:hAnsi="Arial" w:cs="Arial"/>
          <w:b/>
          <w:bCs/>
        </w:rPr>
        <w:br w:type="page"/>
      </w:r>
    </w:p>
    <w:p w:rsidR="00CD4514" w:rsidRPr="00F00733" w:rsidRDefault="00CD4514" w:rsidP="00477F96">
      <w:pPr>
        <w:spacing w:after="0" w:line="240" w:lineRule="auto"/>
        <w:jc w:val="center"/>
        <w:rPr>
          <w:rFonts w:ascii="Arial" w:hAnsi="Arial" w:cs="Arial"/>
          <w:b/>
          <w:bCs/>
          <w:lang w:eastAsia="ar-SA"/>
        </w:rPr>
      </w:pPr>
      <w:r w:rsidRPr="00F00733">
        <w:rPr>
          <w:rFonts w:ascii="Arial" w:hAnsi="Arial" w:cs="Arial"/>
          <w:b/>
          <w:bCs/>
        </w:rPr>
        <w:lastRenderedPageBreak/>
        <w:t xml:space="preserve">Table 7: </w:t>
      </w:r>
      <w:r w:rsidRPr="00F00733">
        <w:rPr>
          <w:rFonts w:ascii="Arial" w:hAnsi="Arial" w:cs="Arial"/>
          <w:b/>
          <w:bCs/>
          <w:lang w:eastAsia="ar-SA"/>
        </w:rPr>
        <w:t>Average consumer price Index numbers for 2018 and relative weight by major groups of expenditure and region: base year 2010=100</w:t>
      </w:r>
    </w:p>
    <w:p w:rsidR="00CD4514" w:rsidRPr="00477F96" w:rsidRDefault="00CD4514" w:rsidP="00477F96">
      <w:pPr>
        <w:spacing w:after="0" w:line="240" w:lineRule="auto"/>
        <w:jc w:val="center"/>
        <w:rPr>
          <w:rFonts w:ascii="Times New Roman" w:hAnsi="Times New Roman" w:cs="Times New Roman"/>
          <w:b/>
          <w:bCs/>
          <w:sz w:val="10"/>
          <w:szCs w:val="10"/>
          <w:lang w:eastAsia="ar-SA"/>
        </w:rPr>
      </w:pPr>
    </w:p>
    <w:tbl>
      <w:tblPr>
        <w:tblW w:w="9072" w:type="dxa"/>
        <w:jc w:val="center"/>
        <w:tblBorders>
          <w:top w:val="single" w:sz="12" w:space="0" w:color="auto"/>
          <w:bottom w:val="single" w:sz="12" w:space="0" w:color="auto"/>
        </w:tblBorders>
        <w:tblLook w:val="04A0"/>
      </w:tblPr>
      <w:tblGrid>
        <w:gridCol w:w="1900"/>
        <w:gridCol w:w="767"/>
        <w:gridCol w:w="1026"/>
        <w:gridCol w:w="767"/>
        <w:gridCol w:w="1026"/>
        <w:gridCol w:w="767"/>
        <w:gridCol w:w="1026"/>
        <w:gridCol w:w="767"/>
        <w:gridCol w:w="1026"/>
      </w:tblGrid>
      <w:tr w:rsidR="00CD4514" w:rsidRPr="00812EB3" w:rsidTr="00812EB3">
        <w:trPr>
          <w:trHeight w:val="340"/>
          <w:jc w:val="center"/>
        </w:trPr>
        <w:tc>
          <w:tcPr>
            <w:tcW w:w="1173" w:type="pct"/>
            <w:tcBorders>
              <w:top w:val="single" w:sz="12" w:space="0" w:color="auto"/>
              <w:left w:val="nil"/>
              <w:bottom w:val="single" w:sz="12" w:space="0" w:color="auto"/>
              <w:right w:val="nil"/>
            </w:tcBorders>
            <w:vAlign w:val="center"/>
          </w:tcPr>
          <w:p w:rsidR="00CD4514" w:rsidRPr="009F0F85" w:rsidRDefault="00CD4514" w:rsidP="00477F96">
            <w:pPr>
              <w:autoSpaceDE w:val="0"/>
              <w:autoSpaceDN w:val="0"/>
              <w:adjustRightInd w:val="0"/>
              <w:spacing w:after="0" w:line="240" w:lineRule="auto"/>
              <w:jc w:val="center"/>
              <w:rPr>
                <w:rFonts w:ascii="Arial" w:hAnsi="Arial" w:cs="Arial"/>
                <w:b/>
                <w:bCs/>
                <w:sz w:val="18"/>
                <w:szCs w:val="18"/>
              </w:rPr>
            </w:pPr>
            <w:r w:rsidRPr="009F0F85">
              <w:rPr>
                <w:rFonts w:ascii="Arial" w:hAnsi="Arial" w:cs="Arial"/>
                <w:b/>
                <w:bCs/>
                <w:sz w:val="18"/>
                <w:szCs w:val="18"/>
              </w:rPr>
              <w:tab/>
            </w:r>
          </w:p>
        </w:tc>
        <w:tc>
          <w:tcPr>
            <w:tcW w:w="863" w:type="pct"/>
            <w:gridSpan w:val="2"/>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ind w:firstLineChars="100" w:firstLine="181"/>
              <w:jc w:val="center"/>
              <w:rPr>
                <w:rFonts w:ascii="Arial" w:hAnsi="Arial" w:cs="Arial"/>
                <w:b/>
                <w:bCs/>
                <w:sz w:val="18"/>
                <w:szCs w:val="18"/>
              </w:rPr>
            </w:pPr>
            <w:r w:rsidRPr="009F0F85">
              <w:rPr>
                <w:rFonts w:ascii="Arial" w:hAnsi="Arial" w:cs="Arial"/>
                <w:b/>
                <w:bCs/>
                <w:sz w:val="18"/>
                <w:szCs w:val="18"/>
              </w:rPr>
              <w:t>Palestine</w:t>
            </w:r>
          </w:p>
        </w:tc>
        <w:tc>
          <w:tcPr>
            <w:tcW w:w="988" w:type="pct"/>
            <w:gridSpan w:val="2"/>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ind w:firstLineChars="100" w:firstLine="181"/>
              <w:jc w:val="center"/>
              <w:rPr>
                <w:rFonts w:ascii="Arial" w:hAnsi="Arial" w:cs="Arial"/>
                <w:b/>
                <w:bCs/>
                <w:sz w:val="18"/>
                <w:szCs w:val="18"/>
              </w:rPr>
            </w:pPr>
            <w:r w:rsidRPr="009F0F85">
              <w:rPr>
                <w:rFonts w:ascii="Arial" w:hAnsi="Arial" w:cs="Arial"/>
                <w:b/>
                <w:bCs/>
                <w:sz w:val="18"/>
                <w:szCs w:val="18"/>
              </w:rPr>
              <w:t>West Bank*</w:t>
            </w:r>
          </w:p>
        </w:tc>
        <w:tc>
          <w:tcPr>
            <w:tcW w:w="988" w:type="pct"/>
            <w:gridSpan w:val="2"/>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ind w:firstLineChars="100" w:firstLine="181"/>
              <w:jc w:val="center"/>
              <w:rPr>
                <w:rFonts w:ascii="Arial" w:eastAsia="Arial Unicode MS" w:hAnsi="Arial" w:cs="Arial"/>
                <w:b/>
                <w:bCs/>
                <w:sz w:val="18"/>
                <w:szCs w:val="18"/>
              </w:rPr>
            </w:pPr>
            <w:r w:rsidRPr="009F0F85">
              <w:rPr>
                <w:rFonts w:ascii="Arial" w:hAnsi="Arial" w:cs="Arial"/>
                <w:b/>
                <w:bCs/>
                <w:sz w:val="18"/>
                <w:szCs w:val="18"/>
              </w:rPr>
              <w:t>Gaza Strip</w:t>
            </w:r>
          </w:p>
        </w:tc>
        <w:tc>
          <w:tcPr>
            <w:tcW w:w="988" w:type="pct"/>
            <w:gridSpan w:val="2"/>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ind w:firstLineChars="100" w:firstLine="181"/>
              <w:jc w:val="center"/>
              <w:rPr>
                <w:rFonts w:ascii="Arial" w:eastAsia="Arial Unicode MS" w:hAnsi="Arial" w:cs="Arial"/>
                <w:b/>
                <w:bCs/>
                <w:sz w:val="18"/>
                <w:szCs w:val="18"/>
              </w:rPr>
            </w:pPr>
            <w:r w:rsidRPr="009F0F85">
              <w:rPr>
                <w:rFonts w:ascii="Arial" w:hAnsi="Arial" w:cs="Arial"/>
                <w:b/>
                <w:bCs/>
                <w:sz w:val="18"/>
                <w:szCs w:val="18"/>
              </w:rPr>
              <w:t>Jerusalem (J1)</w:t>
            </w:r>
            <w:r w:rsidRPr="009F0F85">
              <w:rPr>
                <w:rFonts w:ascii="Arial" w:eastAsia="Arial Unicode MS" w:hAnsi="Arial" w:cs="Arial"/>
                <w:b/>
                <w:bCs/>
                <w:sz w:val="18"/>
                <w:szCs w:val="18"/>
              </w:rPr>
              <w:t>**</w:t>
            </w:r>
          </w:p>
        </w:tc>
      </w:tr>
      <w:tr w:rsidR="00812EB3" w:rsidRPr="00812EB3" w:rsidTr="00812EB3">
        <w:trPr>
          <w:trHeight w:val="340"/>
          <w:jc w:val="center"/>
        </w:trPr>
        <w:tc>
          <w:tcPr>
            <w:tcW w:w="1173" w:type="pct"/>
            <w:tcBorders>
              <w:top w:val="single" w:sz="12" w:space="0" w:color="auto"/>
              <w:left w:val="nil"/>
              <w:bottom w:val="single" w:sz="12" w:space="0" w:color="auto"/>
              <w:right w:val="nil"/>
            </w:tcBorders>
            <w:vAlign w:val="center"/>
          </w:tcPr>
          <w:p w:rsidR="00CD4514" w:rsidRPr="009F0F85" w:rsidRDefault="00CD4514" w:rsidP="00477F96">
            <w:pPr>
              <w:pStyle w:val="Footer"/>
              <w:tabs>
                <w:tab w:val="clear" w:pos="4153"/>
                <w:tab w:val="clear" w:pos="8306"/>
              </w:tabs>
              <w:jc w:val="center"/>
              <w:rPr>
                <w:rFonts w:ascii="Arial" w:hAnsi="Arial" w:cs="Arial"/>
                <w:b/>
                <w:bCs/>
                <w:sz w:val="18"/>
                <w:szCs w:val="18"/>
              </w:rPr>
            </w:pPr>
            <w:r w:rsidRPr="009F0F85">
              <w:rPr>
                <w:rFonts w:ascii="Arial" w:hAnsi="Arial" w:cs="Arial"/>
                <w:b/>
                <w:bCs/>
                <w:sz w:val="18"/>
                <w:szCs w:val="18"/>
              </w:rPr>
              <w:t>Main groups of Expenditure</w:t>
            </w:r>
          </w:p>
        </w:tc>
        <w:tc>
          <w:tcPr>
            <w:tcW w:w="297" w:type="pct"/>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jc w:val="center"/>
              <w:rPr>
                <w:rFonts w:ascii="Arial" w:hAnsi="Arial" w:cs="Arial"/>
                <w:b/>
                <w:bCs/>
                <w:sz w:val="18"/>
                <w:szCs w:val="18"/>
              </w:rPr>
            </w:pPr>
            <w:r w:rsidRPr="009F0F85">
              <w:rPr>
                <w:rFonts w:ascii="Arial" w:hAnsi="Arial" w:cs="Arial"/>
                <w:b/>
                <w:bCs/>
                <w:sz w:val="18"/>
                <w:szCs w:val="18"/>
              </w:rPr>
              <w:t>CPI</w:t>
            </w:r>
          </w:p>
          <w:p w:rsidR="00CD4514" w:rsidRPr="009F0F85" w:rsidRDefault="00CD4514" w:rsidP="00477F96">
            <w:pPr>
              <w:spacing w:after="0" w:line="240" w:lineRule="auto"/>
              <w:jc w:val="center"/>
              <w:rPr>
                <w:rFonts w:ascii="Arial" w:hAnsi="Arial" w:cs="Arial"/>
                <w:b/>
                <w:bCs/>
                <w:sz w:val="18"/>
                <w:szCs w:val="18"/>
              </w:rPr>
            </w:pPr>
          </w:p>
        </w:tc>
        <w:tc>
          <w:tcPr>
            <w:tcW w:w="565" w:type="pct"/>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jc w:val="center"/>
              <w:rPr>
                <w:rFonts w:ascii="Arial" w:hAnsi="Arial" w:cs="Arial"/>
                <w:b/>
                <w:bCs/>
                <w:sz w:val="18"/>
                <w:szCs w:val="18"/>
              </w:rPr>
            </w:pPr>
            <w:r w:rsidRPr="009F0F85">
              <w:rPr>
                <w:rFonts w:ascii="Arial" w:eastAsia="Arial Unicode MS" w:hAnsi="Arial" w:cs="Arial"/>
                <w:b/>
                <w:bCs/>
                <w:sz w:val="18"/>
                <w:szCs w:val="18"/>
              </w:rPr>
              <w:t>Relative Weight***</w:t>
            </w:r>
          </w:p>
        </w:tc>
        <w:tc>
          <w:tcPr>
            <w:tcW w:w="423" w:type="pct"/>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jc w:val="center"/>
              <w:rPr>
                <w:rFonts w:ascii="Arial" w:hAnsi="Arial" w:cs="Arial"/>
                <w:b/>
                <w:bCs/>
                <w:sz w:val="18"/>
                <w:szCs w:val="18"/>
              </w:rPr>
            </w:pPr>
            <w:r w:rsidRPr="009F0F85">
              <w:rPr>
                <w:rFonts w:ascii="Arial" w:hAnsi="Arial" w:cs="Arial"/>
                <w:b/>
                <w:bCs/>
                <w:sz w:val="18"/>
                <w:szCs w:val="18"/>
              </w:rPr>
              <w:t>CPI</w:t>
            </w:r>
          </w:p>
          <w:p w:rsidR="00CD4514" w:rsidRPr="009F0F85" w:rsidRDefault="00CD4514" w:rsidP="00477F96">
            <w:pPr>
              <w:spacing w:after="0" w:line="240" w:lineRule="auto"/>
              <w:jc w:val="center"/>
              <w:rPr>
                <w:rFonts w:ascii="Arial" w:hAnsi="Arial" w:cs="Arial"/>
                <w:b/>
                <w:bCs/>
                <w:sz w:val="18"/>
                <w:szCs w:val="18"/>
              </w:rPr>
            </w:pPr>
          </w:p>
        </w:tc>
        <w:tc>
          <w:tcPr>
            <w:tcW w:w="565" w:type="pct"/>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jc w:val="center"/>
              <w:rPr>
                <w:rFonts w:ascii="Arial" w:hAnsi="Arial" w:cs="Arial"/>
                <w:b/>
                <w:bCs/>
                <w:sz w:val="18"/>
                <w:szCs w:val="18"/>
              </w:rPr>
            </w:pPr>
            <w:r w:rsidRPr="009F0F85">
              <w:rPr>
                <w:rFonts w:ascii="Arial" w:eastAsia="Arial Unicode MS" w:hAnsi="Arial" w:cs="Arial"/>
                <w:b/>
                <w:bCs/>
                <w:sz w:val="18"/>
                <w:szCs w:val="18"/>
              </w:rPr>
              <w:t>Relative Weight***</w:t>
            </w:r>
          </w:p>
        </w:tc>
        <w:tc>
          <w:tcPr>
            <w:tcW w:w="423" w:type="pct"/>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jc w:val="center"/>
              <w:rPr>
                <w:rFonts w:ascii="Arial" w:hAnsi="Arial" w:cs="Arial"/>
                <w:b/>
                <w:bCs/>
                <w:sz w:val="18"/>
                <w:szCs w:val="18"/>
              </w:rPr>
            </w:pPr>
            <w:r w:rsidRPr="009F0F85">
              <w:rPr>
                <w:rFonts w:ascii="Arial" w:hAnsi="Arial" w:cs="Arial"/>
                <w:b/>
                <w:bCs/>
                <w:sz w:val="18"/>
                <w:szCs w:val="18"/>
              </w:rPr>
              <w:t>CPI</w:t>
            </w:r>
          </w:p>
          <w:p w:rsidR="00CD4514" w:rsidRPr="009F0F85" w:rsidRDefault="00CD4514" w:rsidP="00477F96">
            <w:pPr>
              <w:spacing w:after="0" w:line="240" w:lineRule="auto"/>
              <w:jc w:val="center"/>
              <w:rPr>
                <w:rFonts w:ascii="Arial" w:hAnsi="Arial" w:cs="Arial"/>
                <w:b/>
                <w:bCs/>
                <w:sz w:val="18"/>
                <w:szCs w:val="18"/>
              </w:rPr>
            </w:pPr>
          </w:p>
        </w:tc>
        <w:tc>
          <w:tcPr>
            <w:tcW w:w="565" w:type="pct"/>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jc w:val="center"/>
              <w:rPr>
                <w:rFonts w:ascii="Arial" w:hAnsi="Arial" w:cs="Arial"/>
                <w:b/>
                <w:bCs/>
                <w:sz w:val="18"/>
                <w:szCs w:val="18"/>
              </w:rPr>
            </w:pPr>
            <w:r w:rsidRPr="009F0F85">
              <w:rPr>
                <w:rFonts w:ascii="Arial" w:eastAsia="Arial Unicode MS" w:hAnsi="Arial" w:cs="Arial"/>
                <w:b/>
                <w:bCs/>
                <w:sz w:val="18"/>
                <w:szCs w:val="18"/>
              </w:rPr>
              <w:t>Relative Weight***</w:t>
            </w:r>
          </w:p>
        </w:tc>
        <w:tc>
          <w:tcPr>
            <w:tcW w:w="423" w:type="pct"/>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jc w:val="center"/>
              <w:rPr>
                <w:rFonts w:ascii="Arial" w:hAnsi="Arial" w:cs="Arial"/>
                <w:b/>
                <w:bCs/>
                <w:sz w:val="18"/>
                <w:szCs w:val="18"/>
              </w:rPr>
            </w:pPr>
            <w:r w:rsidRPr="009F0F85">
              <w:rPr>
                <w:rFonts w:ascii="Arial" w:hAnsi="Arial" w:cs="Arial"/>
                <w:b/>
                <w:bCs/>
                <w:sz w:val="18"/>
                <w:szCs w:val="18"/>
              </w:rPr>
              <w:t>CPI</w:t>
            </w:r>
          </w:p>
          <w:p w:rsidR="00CD4514" w:rsidRPr="009F0F85" w:rsidRDefault="00CD4514" w:rsidP="00477F96">
            <w:pPr>
              <w:spacing w:after="0" w:line="240" w:lineRule="auto"/>
              <w:jc w:val="center"/>
              <w:rPr>
                <w:rFonts w:ascii="Arial" w:hAnsi="Arial" w:cs="Arial"/>
                <w:b/>
                <w:bCs/>
                <w:sz w:val="18"/>
                <w:szCs w:val="18"/>
              </w:rPr>
            </w:pPr>
          </w:p>
        </w:tc>
        <w:tc>
          <w:tcPr>
            <w:tcW w:w="565" w:type="pct"/>
            <w:tcBorders>
              <w:top w:val="single" w:sz="12" w:space="0" w:color="auto"/>
              <w:left w:val="nil"/>
              <w:bottom w:val="single" w:sz="12" w:space="0" w:color="auto"/>
              <w:right w:val="nil"/>
            </w:tcBorders>
            <w:vAlign w:val="center"/>
          </w:tcPr>
          <w:p w:rsidR="00CD4514" w:rsidRPr="009F0F85" w:rsidRDefault="00CD4514" w:rsidP="00477F96">
            <w:pPr>
              <w:spacing w:after="0" w:line="240" w:lineRule="auto"/>
              <w:jc w:val="center"/>
              <w:rPr>
                <w:rFonts w:ascii="Arial" w:hAnsi="Arial" w:cs="Arial"/>
                <w:b/>
                <w:bCs/>
                <w:sz w:val="18"/>
                <w:szCs w:val="18"/>
              </w:rPr>
            </w:pPr>
            <w:r w:rsidRPr="009F0F85">
              <w:rPr>
                <w:rFonts w:ascii="Arial" w:eastAsia="Arial Unicode MS" w:hAnsi="Arial" w:cs="Arial"/>
                <w:b/>
                <w:bCs/>
                <w:sz w:val="18"/>
                <w:szCs w:val="18"/>
              </w:rPr>
              <w:t>Relative Weight***</w:t>
            </w:r>
          </w:p>
        </w:tc>
      </w:tr>
      <w:tr w:rsidR="00812EB3" w:rsidRPr="00812EB3" w:rsidTr="00812EB3">
        <w:trPr>
          <w:trHeight w:val="340"/>
          <w:jc w:val="center"/>
        </w:trPr>
        <w:tc>
          <w:tcPr>
            <w:tcW w:w="1173"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ind w:right="-86"/>
              <w:rPr>
                <w:rFonts w:ascii="Arial" w:hAnsi="Arial" w:cs="Arial"/>
                <w:sz w:val="18"/>
                <w:szCs w:val="18"/>
              </w:rPr>
            </w:pPr>
            <w:r w:rsidRPr="009F0F85">
              <w:rPr>
                <w:rFonts w:ascii="Arial" w:hAnsi="Arial" w:cs="Arial"/>
                <w:sz w:val="18"/>
                <w:szCs w:val="18"/>
              </w:rPr>
              <w:t>Food and soft drinks</w:t>
            </w:r>
          </w:p>
        </w:tc>
        <w:tc>
          <w:tcPr>
            <w:tcW w:w="297"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104.44</w:t>
            </w:r>
          </w:p>
        </w:tc>
        <w:tc>
          <w:tcPr>
            <w:tcW w:w="565"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lang w:val="en-US"/>
              </w:rPr>
            </w:pPr>
            <w:r w:rsidRPr="009F0F85">
              <w:rPr>
                <w:rFonts w:ascii="Arial" w:hAnsi="Arial" w:cs="Arial"/>
                <w:sz w:val="18"/>
                <w:szCs w:val="18"/>
                <w:rtl/>
              </w:rPr>
              <w:t>35.02</w:t>
            </w:r>
          </w:p>
        </w:tc>
        <w:tc>
          <w:tcPr>
            <w:tcW w:w="423"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107.92</w:t>
            </w:r>
          </w:p>
        </w:tc>
        <w:tc>
          <w:tcPr>
            <w:tcW w:w="565"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34.96</w:t>
            </w:r>
          </w:p>
        </w:tc>
        <w:tc>
          <w:tcPr>
            <w:tcW w:w="423"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98.22</w:t>
            </w:r>
          </w:p>
        </w:tc>
        <w:tc>
          <w:tcPr>
            <w:tcW w:w="565"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41.18</w:t>
            </w:r>
          </w:p>
        </w:tc>
        <w:tc>
          <w:tcPr>
            <w:tcW w:w="423"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111.80</w:t>
            </w:r>
          </w:p>
        </w:tc>
        <w:tc>
          <w:tcPr>
            <w:tcW w:w="565" w:type="pct"/>
            <w:tcBorders>
              <w:top w:val="single" w:sz="12" w:space="0" w:color="auto"/>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23.67</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Alcoholic beverages and tobacco</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162.69</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4.31</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162.77</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5.22</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139.45</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2.32</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174.37</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4.06</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Textiles, clothing and footwear</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107.45</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6.29</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114.27</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5.79</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89.29</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7.09</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121.62</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6.91</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Housing</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109.95</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8.87</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113.65</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8.83</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101.22</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8.73</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117.45</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9.28</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Furniture, household goods</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105.00</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5.36</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112.29</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4.83</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90.90</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6.55</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123.58</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5.42</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Medical care</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121.21</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3.93</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127.56</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4.44</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100.62</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3.08</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115.30</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3.32</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Transportation</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102.37</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13.83</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102.12</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15.33</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111.91</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7.93</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110.59</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18.37</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Communications</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95.76</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3.55</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95.66</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3.46</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94.58</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3.17</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97.83</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4.69</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Recreational, cultural goods &amp; services</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105.42</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2.07</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109.92</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1.78</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98.38</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2.39</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108.31</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2.69</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Education</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122.59</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3.39</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130.25</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3.59</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103.05</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3.38</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130.54</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2.51</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Restaurants and cafes</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127.47</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1.92</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136.38</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1.86</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109.89</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1.65</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119.30</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2.70</w:t>
            </w:r>
          </w:p>
        </w:tc>
      </w:tr>
      <w:tr w:rsidR="00812EB3" w:rsidRPr="00812EB3" w:rsidTr="00812EB3">
        <w:trPr>
          <w:trHeight w:val="340"/>
          <w:jc w:val="center"/>
        </w:trPr>
        <w:tc>
          <w:tcPr>
            <w:tcW w:w="1173" w:type="pct"/>
            <w:tcBorders>
              <w:top w:val="nil"/>
              <w:left w:val="nil"/>
              <w:bottom w:val="nil"/>
              <w:right w:val="nil"/>
            </w:tcBorders>
          </w:tcPr>
          <w:p w:rsidR="00CD4514" w:rsidRPr="009F0F85" w:rsidRDefault="00CD4514" w:rsidP="00812EB3">
            <w:pPr>
              <w:autoSpaceDE w:val="0"/>
              <w:autoSpaceDN w:val="0"/>
              <w:adjustRightInd w:val="0"/>
              <w:spacing w:after="0" w:line="240" w:lineRule="auto"/>
              <w:rPr>
                <w:rFonts w:ascii="Arial" w:hAnsi="Arial" w:cs="Arial"/>
                <w:sz w:val="18"/>
                <w:szCs w:val="18"/>
              </w:rPr>
            </w:pPr>
            <w:r w:rsidRPr="009F0F85">
              <w:rPr>
                <w:rFonts w:ascii="Arial" w:hAnsi="Arial" w:cs="Arial"/>
                <w:sz w:val="18"/>
                <w:szCs w:val="18"/>
              </w:rPr>
              <w:t>Miscellaneous goods and service</w:t>
            </w:r>
          </w:p>
        </w:tc>
        <w:tc>
          <w:tcPr>
            <w:tcW w:w="297"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121.58</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11.48</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122.65</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9.91</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122.80</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12.50</w:t>
            </w:r>
          </w:p>
        </w:tc>
        <w:tc>
          <w:tcPr>
            <w:tcW w:w="423"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Pr>
              <w:t>115.36</w:t>
            </w:r>
          </w:p>
        </w:tc>
        <w:tc>
          <w:tcPr>
            <w:tcW w:w="565" w:type="pct"/>
            <w:tcBorders>
              <w:top w:val="nil"/>
              <w:left w:val="nil"/>
              <w:bottom w:val="nil"/>
              <w:right w:val="nil"/>
            </w:tcBorders>
          </w:tcPr>
          <w:p w:rsidR="00CD4514" w:rsidRPr="009F0F85" w:rsidRDefault="00CD4514" w:rsidP="00812EB3">
            <w:pPr>
              <w:autoSpaceDE w:val="0"/>
              <w:autoSpaceDN w:val="0"/>
              <w:adjustRightInd w:val="0"/>
              <w:spacing w:after="0" w:line="240" w:lineRule="auto"/>
              <w:jc w:val="right"/>
              <w:rPr>
                <w:rFonts w:ascii="Arial" w:hAnsi="Arial" w:cs="Arial"/>
                <w:sz w:val="18"/>
                <w:szCs w:val="18"/>
              </w:rPr>
            </w:pPr>
            <w:r w:rsidRPr="009F0F85">
              <w:rPr>
                <w:rFonts w:ascii="Arial" w:hAnsi="Arial" w:cs="Arial"/>
                <w:sz w:val="18"/>
                <w:szCs w:val="18"/>
                <w:rtl/>
              </w:rPr>
              <w:t>16.38</w:t>
            </w:r>
          </w:p>
        </w:tc>
      </w:tr>
      <w:tr w:rsidR="00812EB3" w:rsidRPr="00812EB3" w:rsidTr="00812EB3">
        <w:trPr>
          <w:trHeight w:val="340"/>
          <w:jc w:val="center"/>
        </w:trPr>
        <w:tc>
          <w:tcPr>
            <w:tcW w:w="1173"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rPr>
                <w:rFonts w:ascii="Arial" w:hAnsi="Arial" w:cs="Arial"/>
                <w:b/>
                <w:bCs/>
                <w:sz w:val="18"/>
                <w:szCs w:val="18"/>
              </w:rPr>
            </w:pPr>
            <w:r w:rsidRPr="009F0F85">
              <w:rPr>
                <w:rFonts w:ascii="Arial" w:hAnsi="Arial" w:cs="Arial"/>
                <w:b/>
                <w:bCs/>
                <w:sz w:val="18"/>
                <w:szCs w:val="18"/>
              </w:rPr>
              <w:t>Consumer Price Index</w:t>
            </w:r>
          </w:p>
        </w:tc>
        <w:tc>
          <w:tcPr>
            <w:tcW w:w="297"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jc w:val="right"/>
              <w:rPr>
                <w:rFonts w:ascii="Arial" w:hAnsi="Arial" w:cs="Arial"/>
                <w:b/>
                <w:bCs/>
                <w:sz w:val="18"/>
                <w:szCs w:val="18"/>
              </w:rPr>
            </w:pPr>
            <w:r w:rsidRPr="009F0F85">
              <w:rPr>
                <w:rFonts w:ascii="Arial" w:hAnsi="Arial" w:cs="Arial"/>
                <w:b/>
                <w:bCs/>
                <w:sz w:val="18"/>
                <w:szCs w:val="18"/>
              </w:rPr>
              <w:t>110.77</w:t>
            </w:r>
          </w:p>
        </w:tc>
        <w:tc>
          <w:tcPr>
            <w:tcW w:w="565"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jc w:val="right"/>
              <w:rPr>
                <w:rFonts w:ascii="Arial" w:hAnsi="Arial" w:cs="Arial"/>
                <w:b/>
                <w:bCs/>
                <w:sz w:val="18"/>
                <w:szCs w:val="18"/>
              </w:rPr>
            </w:pPr>
            <w:r w:rsidRPr="009F0F85">
              <w:rPr>
                <w:rFonts w:ascii="Arial" w:hAnsi="Arial" w:cs="Arial"/>
                <w:b/>
                <w:bCs/>
                <w:sz w:val="18"/>
                <w:szCs w:val="18"/>
                <w:rtl/>
              </w:rPr>
              <w:t>100.00</w:t>
            </w:r>
          </w:p>
        </w:tc>
        <w:tc>
          <w:tcPr>
            <w:tcW w:w="423"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jc w:val="right"/>
              <w:rPr>
                <w:rFonts w:ascii="Arial" w:hAnsi="Arial" w:cs="Arial"/>
                <w:b/>
                <w:bCs/>
                <w:sz w:val="18"/>
                <w:szCs w:val="18"/>
              </w:rPr>
            </w:pPr>
            <w:r w:rsidRPr="009F0F85">
              <w:rPr>
                <w:rFonts w:ascii="Arial" w:hAnsi="Arial" w:cs="Arial"/>
                <w:b/>
                <w:bCs/>
                <w:sz w:val="18"/>
                <w:szCs w:val="18"/>
              </w:rPr>
              <w:t>114.26</w:t>
            </w:r>
          </w:p>
        </w:tc>
        <w:tc>
          <w:tcPr>
            <w:tcW w:w="565"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jc w:val="right"/>
              <w:rPr>
                <w:rFonts w:ascii="Arial" w:hAnsi="Arial" w:cs="Arial"/>
                <w:b/>
                <w:bCs/>
                <w:sz w:val="18"/>
                <w:szCs w:val="18"/>
              </w:rPr>
            </w:pPr>
            <w:r w:rsidRPr="009F0F85">
              <w:rPr>
                <w:rFonts w:ascii="Arial" w:hAnsi="Arial" w:cs="Arial"/>
                <w:b/>
                <w:bCs/>
                <w:sz w:val="18"/>
                <w:szCs w:val="18"/>
                <w:rtl/>
              </w:rPr>
              <w:t>100.00</w:t>
            </w:r>
          </w:p>
        </w:tc>
        <w:tc>
          <w:tcPr>
            <w:tcW w:w="423"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jc w:val="right"/>
              <w:rPr>
                <w:rFonts w:ascii="Arial" w:hAnsi="Arial" w:cs="Arial"/>
                <w:b/>
                <w:bCs/>
                <w:sz w:val="18"/>
                <w:szCs w:val="18"/>
              </w:rPr>
            </w:pPr>
            <w:r w:rsidRPr="009F0F85">
              <w:rPr>
                <w:rFonts w:ascii="Arial" w:hAnsi="Arial" w:cs="Arial"/>
                <w:b/>
                <w:bCs/>
                <w:sz w:val="18"/>
                <w:szCs w:val="18"/>
              </w:rPr>
              <w:t>102.81</w:t>
            </w:r>
          </w:p>
        </w:tc>
        <w:tc>
          <w:tcPr>
            <w:tcW w:w="565"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jc w:val="right"/>
              <w:rPr>
                <w:rFonts w:ascii="Arial" w:hAnsi="Arial" w:cs="Arial"/>
                <w:b/>
                <w:bCs/>
                <w:sz w:val="18"/>
                <w:szCs w:val="18"/>
              </w:rPr>
            </w:pPr>
            <w:r w:rsidRPr="009F0F85">
              <w:rPr>
                <w:rFonts w:ascii="Arial" w:hAnsi="Arial" w:cs="Arial"/>
                <w:b/>
                <w:bCs/>
                <w:sz w:val="18"/>
                <w:szCs w:val="18"/>
                <w:rtl/>
              </w:rPr>
              <w:t>100.00</w:t>
            </w:r>
          </w:p>
        </w:tc>
        <w:tc>
          <w:tcPr>
            <w:tcW w:w="423"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jc w:val="right"/>
              <w:rPr>
                <w:rFonts w:ascii="Arial" w:hAnsi="Arial" w:cs="Arial"/>
                <w:b/>
                <w:bCs/>
                <w:sz w:val="18"/>
                <w:szCs w:val="18"/>
              </w:rPr>
            </w:pPr>
            <w:r w:rsidRPr="009F0F85">
              <w:rPr>
                <w:rFonts w:ascii="Arial" w:hAnsi="Arial" w:cs="Arial"/>
                <w:b/>
                <w:bCs/>
                <w:sz w:val="18"/>
                <w:szCs w:val="18"/>
              </w:rPr>
              <w:t>116.58</w:t>
            </w:r>
          </w:p>
        </w:tc>
        <w:tc>
          <w:tcPr>
            <w:tcW w:w="565" w:type="pct"/>
            <w:tcBorders>
              <w:top w:val="nil"/>
              <w:left w:val="nil"/>
              <w:bottom w:val="single" w:sz="12" w:space="0" w:color="auto"/>
              <w:right w:val="nil"/>
            </w:tcBorders>
          </w:tcPr>
          <w:p w:rsidR="00CD4514" w:rsidRPr="009F0F85" w:rsidRDefault="00CD4514" w:rsidP="00812EB3">
            <w:pPr>
              <w:autoSpaceDE w:val="0"/>
              <w:autoSpaceDN w:val="0"/>
              <w:adjustRightInd w:val="0"/>
              <w:spacing w:after="0" w:line="240" w:lineRule="auto"/>
              <w:jc w:val="right"/>
              <w:rPr>
                <w:rFonts w:ascii="Arial" w:hAnsi="Arial" w:cs="Arial"/>
                <w:b/>
                <w:bCs/>
                <w:sz w:val="18"/>
                <w:szCs w:val="18"/>
              </w:rPr>
            </w:pPr>
            <w:r w:rsidRPr="009F0F85">
              <w:rPr>
                <w:rFonts w:ascii="Arial" w:hAnsi="Arial" w:cs="Arial"/>
                <w:b/>
                <w:bCs/>
                <w:sz w:val="18"/>
                <w:szCs w:val="18"/>
                <w:rtl/>
              </w:rPr>
              <w:t>100.00</w:t>
            </w:r>
          </w:p>
        </w:tc>
      </w:tr>
    </w:tbl>
    <w:p w:rsidR="00CD4514" w:rsidRPr="00477F96" w:rsidRDefault="008759D8" w:rsidP="00477F96">
      <w:pPr>
        <w:spacing w:after="0" w:line="240" w:lineRule="auto"/>
        <w:ind w:hanging="142"/>
        <w:jc w:val="both"/>
        <w:rPr>
          <w:rFonts w:ascii="Times New Roman" w:eastAsia="Times New Roman" w:hAnsi="Times New Roman" w:cs="Times New Roman"/>
          <w:noProof/>
          <w:sz w:val="18"/>
          <w:szCs w:val="18"/>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w:t>
      </w:r>
      <w:r w:rsidR="00CD4514" w:rsidRPr="00477F96">
        <w:rPr>
          <w:rFonts w:ascii="Times New Roman" w:eastAsia="Times New Roman" w:hAnsi="Times New Roman" w:cs="Times New Roman"/>
          <w:noProof/>
          <w:sz w:val="18"/>
          <w:szCs w:val="18"/>
        </w:rPr>
        <w:t xml:space="preserve"> The data excluded those parts of Jerusalem which were annexed by Israeli occupation in 1967.</w:t>
      </w:r>
    </w:p>
    <w:p w:rsidR="00CD4514" w:rsidRPr="00477F96" w:rsidRDefault="008759D8" w:rsidP="00477F96">
      <w:pPr>
        <w:tabs>
          <w:tab w:val="left" w:pos="6720"/>
        </w:tabs>
        <w:spacing w:after="0" w:line="240" w:lineRule="auto"/>
        <w:ind w:hanging="142"/>
        <w:jc w:val="both"/>
        <w:rPr>
          <w:rFonts w:ascii="Times New Roman" w:hAnsi="Times New Roman" w:cs="Times New Roman"/>
          <w:sz w:val="18"/>
          <w:szCs w:val="18"/>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 xml:space="preserve">** J1: </w:t>
      </w:r>
      <w:r w:rsidR="00CD4514" w:rsidRPr="00477F96">
        <w:rPr>
          <w:rFonts w:ascii="Times New Roman" w:hAnsi="Times New Roman" w:cs="Times New Roman"/>
          <w:sz w:val="18"/>
          <w:szCs w:val="18"/>
          <w:lang w:val="en-US"/>
        </w:rPr>
        <w:t>T</w:t>
      </w:r>
      <w:r w:rsidR="00CD4514" w:rsidRPr="00477F96">
        <w:rPr>
          <w:rFonts w:ascii="Times New Roman" w:hAnsi="Times New Roman" w:cs="Times New Roman"/>
          <w:sz w:val="18"/>
          <w:szCs w:val="18"/>
        </w:rPr>
        <w:t>hose parts of Jerusalem which were annexed by Israeli occupation in 1967.</w:t>
      </w:r>
    </w:p>
    <w:p w:rsidR="00CD4514" w:rsidRPr="00477F96" w:rsidRDefault="008759D8" w:rsidP="00477F96">
      <w:pPr>
        <w:spacing w:after="0" w:line="240" w:lineRule="auto"/>
        <w:ind w:right="-143" w:hanging="142"/>
        <w:rPr>
          <w:rFonts w:ascii="Times New Roman" w:hAnsi="Times New Roman" w:cs="Times New Roman"/>
          <w:sz w:val="18"/>
          <w:szCs w:val="18"/>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 Relative distribution of the weights used in calculating the consumer prices index for the major groups of expenditure and region based on the Palestinian Expenditure and Consumption Survey 2010.</w:t>
      </w:r>
      <w:r w:rsidR="00CD4514" w:rsidRPr="00477F96">
        <w:rPr>
          <w:rFonts w:ascii="Times New Roman" w:hAnsi="Times New Roman" w:cs="Times New Roman"/>
          <w:sz w:val="18"/>
          <w:szCs w:val="18"/>
        </w:rPr>
        <w:br/>
        <w:t xml:space="preserve">  </w:t>
      </w:r>
    </w:p>
    <w:p w:rsidR="00CD4514" w:rsidRPr="00477F96" w:rsidRDefault="00CD4514" w:rsidP="00477F96">
      <w:pPr>
        <w:tabs>
          <w:tab w:val="left" w:pos="3578"/>
        </w:tabs>
        <w:spacing w:after="0" w:line="240" w:lineRule="auto"/>
        <w:jc w:val="both"/>
        <w:rPr>
          <w:rFonts w:ascii="Times New Roman" w:hAnsi="Times New Roman" w:cs="Times New Roman"/>
          <w:b/>
          <w:bCs/>
          <w:sz w:val="24"/>
          <w:szCs w:val="24"/>
        </w:rPr>
      </w:pPr>
      <w:r w:rsidRPr="00477F96">
        <w:rPr>
          <w:rFonts w:ascii="Times New Roman" w:hAnsi="Times New Roman" w:cs="Times New Roman"/>
          <w:b/>
          <w:bCs/>
          <w:sz w:val="24"/>
          <w:szCs w:val="24"/>
        </w:rPr>
        <w:tab/>
      </w: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Default="00CD4514" w:rsidP="00477F96">
      <w:pPr>
        <w:spacing w:after="0" w:line="240" w:lineRule="auto"/>
        <w:jc w:val="both"/>
        <w:rPr>
          <w:rFonts w:ascii="Times New Roman" w:hAnsi="Times New Roman" w:cs="Times New Roman"/>
          <w:b/>
          <w:bCs/>
          <w:sz w:val="24"/>
          <w:szCs w:val="24"/>
        </w:rPr>
      </w:pPr>
    </w:p>
    <w:p w:rsidR="004A6862" w:rsidRDefault="004A6862" w:rsidP="00477F96">
      <w:pPr>
        <w:spacing w:after="0" w:line="240" w:lineRule="auto"/>
        <w:jc w:val="both"/>
        <w:rPr>
          <w:rFonts w:ascii="Times New Roman" w:hAnsi="Times New Roman" w:cs="Times New Roman"/>
          <w:b/>
          <w:bCs/>
          <w:sz w:val="24"/>
          <w:szCs w:val="24"/>
        </w:rPr>
      </w:pPr>
    </w:p>
    <w:p w:rsidR="004A6862" w:rsidRDefault="004A6862" w:rsidP="00477F96">
      <w:pPr>
        <w:spacing w:after="0" w:line="240" w:lineRule="auto"/>
        <w:jc w:val="both"/>
        <w:rPr>
          <w:rFonts w:ascii="Times New Roman" w:hAnsi="Times New Roman" w:cs="Times New Roman"/>
          <w:b/>
          <w:bCs/>
          <w:sz w:val="24"/>
          <w:szCs w:val="24"/>
        </w:rPr>
      </w:pPr>
    </w:p>
    <w:p w:rsidR="004A6862" w:rsidRDefault="004A6862" w:rsidP="00477F96">
      <w:pPr>
        <w:spacing w:after="0" w:line="240" w:lineRule="auto"/>
        <w:jc w:val="both"/>
        <w:rPr>
          <w:rFonts w:ascii="Times New Roman" w:hAnsi="Times New Roman" w:cs="Times New Roman"/>
          <w:b/>
          <w:bCs/>
          <w:sz w:val="24"/>
          <w:szCs w:val="24"/>
        </w:rPr>
      </w:pPr>
    </w:p>
    <w:p w:rsidR="004A6862" w:rsidRDefault="004A6862" w:rsidP="00477F96">
      <w:pPr>
        <w:spacing w:after="0" w:line="240" w:lineRule="auto"/>
        <w:jc w:val="both"/>
        <w:rPr>
          <w:rFonts w:ascii="Times New Roman" w:hAnsi="Times New Roman" w:cs="Times New Roman"/>
          <w:b/>
          <w:bCs/>
          <w:sz w:val="24"/>
          <w:szCs w:val="24"/>
        </w:rPr>
      </w:pPr>
    </w:p>
    <w:p w:rsidR="004A6862" w:rsidRDefault="004A6862" w:rsidP="00477F96">
      <w:pPr>
        <w:spacing w:after="0" w:line="240" w:lineRule="auto"/>
        <w:jc w:val="both"/>
        <w:rPr>
          <w:rFonts w:ascii="Times New Roman" w:hAnsi="Times New Roman" w:cs="Times New Roman"/>
          <w:b/>
          <w:bCs/>
          <w:sz w:val="24"/>
          <w:szCs w:val="24"/>
        </w:rPr>
      </w:pPr>
    </w:p>
    <w:p w:rsidR="004A6862" w:rsidRPr="00477F96" w:rsidRDefault="004A6862"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b/>
          <w:bCs/>
          <w:sz w:val="24"/>
          <w:szCs w:val="24"/>
        </w:rPr>
      </w:pPr>
    </w:p>
    <w:p w:rsidR="00812EB3" w:rsidRDefault="00812EB3">
      <w:pPr>
        <w:rPr>
          <w:rFonts w:ascii="Times New Roman" w:hAnsi="Times New Roman" w:cs="Times New Roman"/>
          <w:sz w:val="24"/>
          <w:szCs w:val="24"/>
        </w:rPr>
      </w:pPr>
      <w:r>
        <w:rPr>
          <w:rFonts w:ascii="Times New Roman" w:hAnsi="Times New Roman" w:cs="Times New Roman"/>
          <w:sz w:val="24"/>
          <w:szCs w:val="24"/>
        </w:rPr>
        <w:br w:type="page"/>
      </w:r>
    </w:p>
    <w:p w:rsidR="00CD4514" w:rsidRPr="00BC022F" w:rsidRDefault="00CD4514" w:rsidP="00477F96">
      <w:pPr>
        <w:spacing w:after="0" w:line="240" w:lineRule="auto"/>
        <w:jc w:val="center"/>
        <w:rPr>
          <w:rFonts w:ascii="Times New Roman" w:hAnsi="Times New Roman" w:cs="Times New Roman"/>
          <w:sz w:val="24"/>
          <w:szCs w:val="24"/>
        </w:rPr>
      </w:pPr>
      <w:r w:rsidRPr="00BC022F">
        <w:rPr>
          <w:rFonts w:ascii="Times New Roman" w:hAnsi="Times New Roman" w:cs="Times New Roman"/>
          <w:sz w:val="24"/>
          <w:szCs w:val="24"/>
        </w:rPr>
        <w:lastRenderedPageBreak/>
        <w:t>Second Chapter</w:t>
      </w:r>
    </w:p>
    <w:p w:rsidR="00CD4514" w:rsidRPr="00477F96" w:rsidRDefault="00CD4514" w:rsidP="00477F96">
      <w:pPr>
        <w:spacing w:after="0" w:line="240" w:lineRule="auto"/>
        <w:jc w:val="center"/>
        <w:rPr>
          <w:rFonts w:ascii="Times New Roman" w:hAnsi="Times New Roman" w:cs="Times New Roman"/>
          <w:b/>
          <w:bCs/>
          <w:sz w:val="28"/>
          <w:szCs w:val="28"/>
        </w:rPr>
      </w:pPr>
    </w:p>
    <w:p w:rsidR="00CD4514" w:rsidRPr="00BC022F" w:rsidRDefault="00CD4514" w:rsidP="00477F96">
      <w:pPr>
        <w:spacing w:after="0" w:line="240" w:lineRule="auto"/>
        <w:jc w:val="center"/>
        <w:rPr>
          <w:rFonts w:ascii="Times New Roman" w:hAnsi="Times New Roman" w:cs="Times New Roman"/>
          <w:b/>
          <w:bCs/>
          <w:sz w:val="28"/>
          <w:szCs w:val="28"/>
        </w:rPr>
      </w:pPr>
      <w:r w:rsidRPr="00BC022F">
        <w:rPr>
          <w:rFonts w:ascii="Times New Roman" w:hAnsi="Times New Roman" w:cs="Times New Roman"/>
          <w:b/>
          <w:bCs/>
          <w:sz w:val="28"/>
          <w:szCs w:val="28"/>
        </w:rPr>
        <w:t>Public Finance</w:t>
      </w:r>
      <w:r w:rsidR="00BC022F">
        <w:rPr>
          <w:rFonts w:ascii="Times New Roman" w:hAnsi="Times New Roman" w:cs="Times New Roman"/>
          <w:b/>
          <w:bCs/>
          <w:sz w:val="28"/>
          <w:szCs w:val="28"/>
        </w:rPr>
        <w:t xml:space="preserve"> 2018</w:t>
      </w:r>
      <w:r w:rsidRPr="00BC022F">
        <w:rPr>
          <w:rStyle w:val="FootnoteReference"/>
          <w:rFonts w:ascii="Times New Roman" w:hAnsi="Times New Roman" w:cs="Times New Roman"/>
          <w:b/>
          <w:bCs/>
          <w:sz w:val="28"/>
          <w:szCs w:val="28"/>
        </w:rPr>
        <w:footnoteReference w:id="6"/>
      </w: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69364B" w:rsidP="00477F96">
      <w:pPr>
        <w:spacing w:after="0" w:line="240" w:lineRule="auto"/>
        <w:ind w:left="1440"/>
        <w:jc w:val="both"/>
        <w:rPr>
          <w:rFonts w:ascii="Times New Roman" w:hAnsi="Times New Roman" w:cs="Times New Roman"/>
          <w:b/>
          <w:bCs/>
          <w:sz w:val="28"/>
          <w:szCs w:val="28"/>
          <w:lang w:val="en-US"/>
        </w:rPr>
      </w:pPr>
      <w:r w:rsidRPr="0069364B">
        <w:rPr>
          <w:rFonts w:ascii="Times New Roman" w:hAnsi="Times New Roman" w:cs="Times New Roman"/>
          <w:b/>
          <w:bCs/>
          <w:noProof/>
          <w:sz w:val="28"/>
          <w:szCs w:val="28"/>
          <w:lang w:val="en-US" w:eastAsia="en-US"/>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left:0;text-align:left;margin-left:157.35pt;margin-top:293.65pt;width:168.75pt;height:140.8pt;z-index:251656192" fillcolor="#ffc000" strokecolor="#69f">
            <v:stroke r:id="rId24" o:title="" filltype="pattern"/>
            <v:textbox style="mso-next-textbox:#_x0000_s1027">
              <w:txbxContent>
                <w:p w:rsidR="00D97CA4" w:rsidRPr="005820B5" w:rsidRDefault="00D97CA4" w:rsidP="00CD4514">
                  <w:pPr>
                    <w:jc w:val="center"/>
                    <w:rPr>
                      <w:rFonts w:ascii="Arial" w:hAnsi="Arial" w:cs="Arial"/>
                      <w:b/>
                      <w:bCs/>
                      <w:color w:val="000000" w:themeColor="text1"/>
                      <w:sz w:val="18"/>
                      <w:szCs w:val="18"/>
                      <w:lang w:val="en-US"/>
                    </w:rPr>
                  </w:pPr>
                  <w:r w:rsidRPr="005820B5">
                    <w:rPr>
                      <w:rFonts w:ascii="Arial" w:hAnsi="Arial" w:cs="Arial"/>
                      <w:b/>
                      <w:bCs/>
                      <w:color w:val="000000" w:themeColor="text1"/>
                      <w:sz w:val="18"/>
                      <w:szCs w:val="18"/>
                    </w:rPr>
                    <w:t>Current balance</w:t>
                  </w:r>
                  <w:r w:rsidRPr="005820B5">
                    <w:rPr>
                      <w:rFonts w:ascii="Arial" w:hAnsi="Arial" w:cs="Arial"/>
                      <w:b/>
                      <w:bCs/>
                      <w:color w:val="000000" w:themeColor="text1"/>
                      <w:sz w:val="18"/>
                      <w:szCs w:val="18"/>
                      <w:lang w:val="en-US"/>
                    </w:rPr>
                    <w:t xml:space="preserve"> USD</w:t>
                  </w:r>
                  <w:r w:rsidRPr="005820B5">
                    <w:rPr>
                      <w:rFonts w:ascii="Arial" w:hAnsi="Arial" w:cs="Arial"/>
                      <w:b/>
                      <w:bCs/>
                      <w:color w:val="000000" w:themeColor="text1"/>
                      <w:sz w:val="18"/>
                      <w:szCs w:val="18"/>
                    </w:rPr>
                    <w:t xml:space="preserve"> 721</w:t>
                  </w:r>
                  <w:r w:rsidRPr="005820B5">
                    <w:rPr>
                      <w:rFonts w:ascii="Arial" w:hAnsi="Arial" w:cs="Arial"/>
                      <w:b/>
                      <w:bCs/>
                      <w:color w:val="000000" w:themeColor="text1"/>
                      <w:sz w:val="18"/>
                      <w:szCs w:val="18"/>
                      <w:rtl/>
                    </w:rPr>
                    <w:t xml:space="preserve"> </w:t>
                  </w:r>
                  <w:r w:rsidRPr="005820B5">
                    <w:rPr>
                      <w:rFonts w:ascii="Arial" w:hAnsi="Arial" w:cs="Arial"/>
                      <w:b/>
                      <w:bCs/>
                      <w:color w:val="000000" w:themeColor="text1"/>
                      <w:sz w:val="18"/>
                      <w:szCs w:val="18"/>
                      <w:lang w:val="en-US"/>
                    </w:rPr>
                    <w:t>million</w:t>
                  </w:r>
                </w:p>
              </w:txbxContent>
            </v:textbox>
          </v:shape>
        </w:pict>
      </w:r>
      <w:r w:rsidR="00CD4514" w:rsidRPr="00477F96">
        <w:rPr>
          <w:rFonts w:ascii="Times New Roman" w:hAnsi="Times New Roman" w:cs="Times New Roman"/>
          <w:b/>
          <w:bCs/>
          <w:noProof/>
          <w:sz w:val="28"/>
          <w:szCs w:val="28"/>
        </w:rPr>
        <w:drawing>
          <wp:inline distT="0" distB="0" distL="0" distR="0">
            <wp:extent cx="4314825" cy="4419600"/>
            <wp:effectExtent l="0" t="0" r="0"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CD4514" w:rsidRPr="00477F96" w:rsidRDefault="00CD4514" w:rsidP="00477F96">
      <w:pPr>
        <w:spacing w:after="0" w:line="240" w:lineRule="auto"/>
        <w:jc w:val="both"/>
        <w:rPr>
          <w:rFonts w:ascii="Times New Roman" w:hAnsi="Times New Roman" w:cs="Times New Roman"/>
          <w:b/>
          <w:bCs/>
          <w:sz w:val="28"/>
          <w:szCs w:val="28"/>
          <w:lang w:val="en-US"/>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Default="00CD4514" w:rsidP="00477F96">
      <w:pPr>
        <w:spacing w:after="0" w:line="240" w:lineRule="auto"/>
        <w:jc w:val="both"/>
        <w:rPr>
          <w:rFonts w:ascii="Times New Roman" w:hAnsi="Times New Roman" w:cs="Times New Roman"/>
          <w:b/>
          <w:bCs/>
          <w:sz w:val="28"/>
          <w:szCs w:val="28"/>
        </w:rPr>
      </w:pPr>
    </w:p>
    <w:p w:rsidR="00663EA1" w:rsidRPr="00477F96" w:rsidRDefault="00663EA1" w:rsidP="00477F96">
      <w:pPr>
        <w:spacing w:after="0" w:line="240" w:lineRule="auto"/>
        <w:jc w:val="both"/>
        <w:rPr>
          <w:rFonts w:ascii="Times New Roman" w:hAnsi="Times New Roman" w:cs="Times New Roman"/>
          <w:b/>
          <w:bCs/>
          <w:sz w:val="28"/>
          <w:szCs w:val="28"/>
        </w:rPr>
      </w:pPr>
    </w:p>
    <w:p w:rsidR="00663EA1" w:rsidRDefault="00663EA1" w:rsidP="00477F96">
      <w:pPr>
        <w:pStyle w:val="BodyText3"/>
        <w:spacing w:after="0" w:line="240" w:lineRule="auto"/>
        <w:contextualSpacing/>
        <w:jc w:val="both"/>
        <w:rPr>
          <w:rFonts w:ascii="Times New Roman" w:hAnsi="Times New Roman" w:cs="Times New Roman"/>
          <w:b/>
          <w:bCs/>
          <w:sz w:val="24"/>
          <w:szCs w:val="24"/>
        </w:rPr>
      </w:pPr>
    </w:p>
    <w:p w:rsidR="00CD4514" w:rsidRPr="00663EA1" w:rsidRDefault="00FC7573" w:rsidP="00477F96">
      <w:pPr>
        <w:pStyle w:val="BodyText3"/>
        <w:spacing w:after="0" w:line="240" w:lineRule="auto"/>
        <w:contextualSpacing/>
        <w:jc w:val="both"/>
        <w:rPr>
          <w:rFonts w:ascii="Times New Roman" w:hAnsi="Times New Roman" w:cs="Times New Roman"/>
          <w:b/>
          <w:bCs/>
          <w:sz w:val="24"/>
          <w:szCs w:val="24"/>
        </w:rPr>
      </w:pPr>
      <w:r w:rsidRPr="00663EA1">
        <w:rPr>
          <w:rFonts w:ascii="Times New Roman" w:hAnsi="Times New Roman" w:cs="Times New Roman"/>
          <w:b/>
          <w:bCs/>
          <w:sz w:val="24"/>
          <w:szCs w:val="24"/>
        </w:rPr>
        <w:lastRenderedPageBreak/>
        <w:t xml:space="preserve">2.1 </w:t>
      </w:r>
      <w:r w:rsidR="00CD4514" w:rsidRPr="00663EA1">
        <w:rPr>
          <w:rFonts w:ascii="Times New Roman" w:hAnsi="Times New Roman" w:cs="Times New Roman"/>
          <w:b/>
          <w:bCs/>
          <w:sz w:val="24"/>
          <w:szCs w:val="24"/>
        </w:rPr>
        <w:t>Current Balance (Deficit)</w:t>
      </w:r>
    </w:p>
    <w:p w:rsidR="00CD4514" w:rsidRPr="00FC7573" w:rsidRDefault="00CD4514" w:rsidP="00477F96">
      <w:pPr>
        <w:pStyle w:val="BodyText3"/>
        <w:spacing w:after="0" w:line="240" w:lineRule="auto"/>
        <w:contextualSpacing/>
        <w:jc w:val="both"/>
        <w:rPr>
          <w:rFonts w:ascii="Times New Roman" w:hAnsi="Times New Roman" w:cs="Times New Roman"/>
          <w:sz w:val="24"/>
          <w:szCs w:val="24"/>
        </w:rPr>
      </w:pPr>
      <w:r w:rsidRPr="00FC7573">
        <w:rPr>
          <w:rFonts w:ascii="Times New Roman" w:hAnsi="Times New Roman" w:cs="Times New Roman"/>
          <w:b/>
          <w:bCs/>
          <w:sz w:val="24"/>
          <w:szCs w:val="24"/>
        </w:rPr>
        <w:t xml:space="preserve">The current balance in Palestinian government budget in 2018 recorded a deficit of USD 720.6 million compared to USD 862.8 million in 2017, decreasing by 16.5%.  </w:t>
      </w:r>
      <w:r w:rsidRPr="00FC7573">
        <w:rPr>
          <w:rFonts w:ascii="Times New Roman" w:hAnsi="Times New Roman" w:cs="Times New Roman"/>
          <w:sz w:val="24"/>
          <w:szCs w:val="24"/>
        </w:rPr>
        <w:t>This is mainly explained by a decrease in current expenditures and net lending value by 6.2% compared to 2017, despite of the decrease in total net public revenues value by 3.8% compared to 2017. (See figure below).</w:t>
      </w:r>
    </w:p>
    <w:p w:rsidR="00CD4514" w:rsidRPr="00812EB3" w:rsidRDefault="00CD4514" w:rsidP="00477F96">
      <w:pPr>
        <w:pStyle w:val="BodyText3"/>
        <w:spacing w:after="0" w:line="240" w:lineRule="auto"/>
        <w:contextualSpacing/>
        <w:jc w:val="both"/>
        <w:rPr>
          <w:rFonts w:ascii="Times New Roman" w:hAnsi="Times New Roman" w:cs="Times New Roman"/>
          <w:sz w:val="24"/>
          <w:szCs w:val="24"/>
        </w:rPr>
      </w:pPr>
    </w:p>
    <w:p w:rsidR="00CD4514" w:rsidRPr="00FC7573" w:rsidRDefault="00CD4514" w:rsidP="00477F96">
      <w:pPr>
        <w:pStyle w:val="BodyText3"/>
        <w:spacing w:after="0" w:line="240" w:lineRule="auto"/>
        <w:contextualSpacing/>
        <w:jc w:val="center"/>
        <w:rPr>
          <w:rFonts w:ascii="Arial" w:hAnsi="Arial" w:cs="Arial"/>
          <w:b/>
          <w:bCs/>
          <w:sz w:val="22"/>
          <w:szCs w:val="22"/>
        </w:rPr>
      </w:pPr>
      <w:r w:rsidRPr="00FC7573">
        <w:rPr>
          <w:rFonts w:ascii="Arial" w:hAnsi="Arial" w:cs="Arial"/>
          <w:b/>
          <w:bCs/>
          <w:sz w:val="22"/>
          <w:szCs w:val="22"/>
        </w:rPr>
        <w:t>Components of general budget</w:t>
      </w:r>
      <w:r w:rsidRPr="00FC7573">
        <w:rPr>
          <w:rFonts w:ascii="Arial" w:hAnsi="Arial" w:cs="Arial"/>
          <w:b/>
          <w:bCs/>
        </w:rPr>
        <w:t xml:space="preserve"> </w:t>
      </w:r>
      <w:r w:rsidR="00EF105D">
        <w:rPr>
          <w:rFonts w:ascii="Arial" w:hAnsi="Arial" w:cs="Arial"/>
          <w:b/>
          <w:bCs/>
          <w:sz w:val="22"/>
          <w:szCs w:val="22"/>
        </w:rPr>
        <w:t>in Palestine, 2013-</w:t>
      </w:r>
      <w:r w:rsidRPr="00FC7573">
        <w:rPr>
          <w:rFonts w:ascii="Arial" w:hAnsi="Arial" w:cs="Arial"/>
          <w:b/>
          <w:bCs/>
          <w:sz w:val="22"/>
          <w:szCs w:val="22"/>
        </w:rPr>
        <w:t>2018</w:t>
      </w:r>
    </w:p>
    <w:tbl>
      <w:tblPr>
        <w:tblStyle w:val="TableGrid"/>
        <w:tblW w:w="0" w:type="auto"/>
        <w:tblInd w:w="108" w:type="dxa"/>
        <w:tblLayout w:type="fixed"/>
        <w:tblLook w:val="04A0"/>
      </w:tblPr>
      <w:tblGrid>
        <w:gridCol w:w="9072"/>
      </w:tblGrid>
      <w:tr w:rsidR="00CD4514" w:rsidRPr="00477F96" w:rsidTr="00DD5870">
        <w:tc>
          <w:tcPr>
            <w:tcW w:w="9072" w:type="dxa"/>
          </w:tcPr>
          <w:p w:rsidR="00CD4514" w:rsidRPr="00477F96" w:rsidRDefault="00CD4514" w:rsidP="00477F96">
            <w:pPr>
              <w:pStyle w:val="BodyText3"/>
              <w:spacing w:after="0"/>
              <w:contextualSpacing/>
              <w:jc w:val="center"/>
              <w:rPr>
                <w:rFonts w:ascii="Times New Roman" w:hAnsi="Times New Roman" w:cs="Times New Roman"/>
              </w:rPr>
            </w:pPr>
            <w:r w:rsidRPr="00477F96">
              <w:rPr>
                <w:rFonts w:ascii="Times New Roman" w:hAnsi="Times New Roman" w:cs="Times New Roman"/>
                <w:noProof/>
              </w:rPr>
              <w:drawing>
                <wp:inline distT="0" distB="0" distL="0" distR="0">
                  <wp:extent cx="5642279" cy="2806810"/>
                  <wp:effectExtent l="19050" t="0" r="0" b="0"/>
                  <wp:docPr id="27"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rsidR="00CD4514" w:rsidRPr="00201D8F" w:rsidRDefault="00CD4514" w:rsidP="00477F96">
      <w:pPr>
        <w:pStyle w:val="BodyText3"/>
        <w:spacing w:after="0" w:line="240" w:lineRule="auto"/>
        <w:contextualSpacing/>
        <w:jc w:val="both"/>
        <w:rPr>
          <w:rFonts w:ascii="Times New Roman" w:hAnsi="Times New Roman" w:cs="Times New Roman"/>
          <w:sz w:val="24"/>
          <w:szCs w:val="24"/>
        </w:rPr>
      </w:pPr>
      <w:r w:rsidRPr="00201D8F">
        <w:rPr>
          <w:rFonts w:ascii="Times New Roman" w:hAnsi="Times New Roman" w:cs="Times New Roman"/>
          <w:sz w:val="24"/>
          <w:szCs w:val="24"/>
        </w:rPr>
        <w:br/>
      </w:r>
      <w:r w:rsidRPr="00201D8F">
        <w:rPr>
          <w:rFonts w:ascii="Times New Roman" w:hAnsi="Times New Roman" w:cs="Times New Roman"/>
          <w:b/>
          <w:bCs/>
          <w:sz w:val="24"/>
          <w:szCs w:val="24"/>
        </w:rPr>
        <w:t>Current deficit,</w:t>
      </w:r>
      <w:r w:rsidRPr="00201D8F">
        <w:rPr>
          <w:rFonts w:ascii="Times New Roman" w:hAnsi="Times New Roman" w:cs="Times New Roman"/>
          <w:b/>
          <w:bCs/>
          <w:sz w:val="24"/>
          <w:szCs w:val="24"/>
          <w:rtl/>
        </w:rPr>
        <w:t xml:space="preserve"> </w:t>
      </w:r>
      <w:r w:rsidRPr="00201D8F">
        <w:rPr>
          <w:rFonts w:ascii="Times New Roman" w:hAnsi="Times New Roman" w:cs="Times New Roman"/>
          <w:b/>
          <w:bCs/>
          <w:sz w:val="24"/>
          <w:szCs w:val="24"/>
        </w:rPr>
        <w:t xml:space="preserve">contribution to GDP in 2018 decreased to 4.9%, compared to 6.0% 2017 due to a decrease of deficit value in 2018.  </w:t>
      </w:r>
      <w:r w:rsidRPr="00201D8F">
        <w:rPr>
          <w:rFonts w:ascii="Times New Roman" w:hAnsi="Times New Roman" w:cs="Times New Roman"/>
          <w:sz w:val="24"/>
          <w:szCs w:val="24"/>
        </w:rPr>
        <w:t>On the other hand, overall balance (before grants) was 7.4% of GDP, marking a decrease compared to 2017 which was 8.5%.  The overall balance (after grants) was 2.8% of GDP during 2018, compared to 3.5% in 2017.</w:t>
      </w:r>
      <w:r w:rsidRPr="00201D8F">
        <w:rPr>
          <w:rFonts w:ascii="Times New Roman" w:hAnsi="Times New Roman" w:cs="Times New Roman"/>
          <w:sz w:val="24"/>
          <w:szCs w:val="24"/>
          <w:rtl/>
        </w:rPr>
        <w:t xml:space="preserve">  </w:t>
      </w:r>
      <w:r w:rsidRPr="00201D8F">
        <w:rPr>
          <w:rFonts w:ascii="Times New Roman" w:hAnsi="Times New Roman" w:cs="Times New Roman"/>
          <w:sz w:val="24"/>
          <w:szCs w:val="24"/>
        </w:rPr>
        <w:t>(See table 8).</w:t>
      </w:r>
    </w:p>
    <w:p w:rsidR="00CD4514" w:rsidRPr="00477F96" w:rsidRDefault="00CD4514" w:rsidP="00477F96">
      <w:pPr>
        <w:spacing w:after="0" w:line="240" w:lineRule="auto"/>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Default="00CD4514" w:rsidP="00477F96">
      <w:pPr>
        <w:spacing w:after="0" w:line="240" w:lineRule="auto"/>
        <w:jc w:val="both"/>
        <w:rPr>
          <w:rFonts w:ascii="Times New Roman" w:hAnsi="Times New Roman" w:cs="Times New Roman"/>
          <w:sz w:val="24"/>
          <w:szCs w:val="24"/>
        </w:rPr>
      </w:pPr>
    </w:p>
    <w:p w:rsidR="00614B03" w:rsidRPr="00477F96" w:rsidRDefault="00614B03"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Default="00CD4514" w:rsidP="00477F96">
      <w:pPr>
        <w:spacing w:after="0" w:line="240" w:lineRule="auto"/>
        <w:jc w:val="both"/>
        <w:rPr>
          <w:rFonts w:ascii="Times New Roman" w:hAnsi="Times New Roman" w:cs="Times New Roman"/>
          <w:sz w:val="24"/>
          <w:szCs w:val="24"/>
        </w:rPr>
      </w:pPr>
    </w:p>
    <w:p w:rsidR="00201D8F" w:rsidRPr="00477F96" w:rsidRDefault="00201D8F"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201D8F" w:rsidRDefault="00CD4514" w:rsidP="00477F96">
      <w:pPr>
        <w:spacing w:after="0" w:line="240" w:lineRule="auto"/>
        <w:jc w:val="center"/>
        <w:rPr>
          <w:rFonts w:ascii="Arial" w:hAnsi="Arial" w:cs="Arial"/>
          <w:b/>
          <w:bCs/>
        </w:rPr>
      </w:pPr>
      <w:r w:rsidRPr="00201D8F">
        <w:rPr>
          <w:rFonts w:ascii="Arial" w:hAnsi="Arial" w:cs="Arial"/>
          <w:b/>
          <w:bCs/>
        </w:rPr>
        <w:lastRenderedPageBreak/>
        <w:t>Table 8: Fiscal operations, revenues, expenditures and financing sources (commitment basis) 2013-2018</w:t>
      </w:r>
    </w:p>
    <w:p w:rsidR="00CD4514" w:rsidRPr="00477F96" w:rsidRDefault="00CD4514" w:rsidP="00477F96">
      <w:pPr>
        <w:spacing w:after="0" w:line="240" w:lineRule="auto"/>
        <w:jc w:val="center"/>
        <w:rPr>
          <w:rFonts w:ascii="Times New Roman" w:hAnsi="Times New Roman" w:cs="Times New Roman"/>
          <w:b/>
          <w:bCs/>
          <w:sz w:val="10"/>
          <w:szCs w:val="10"/>
        </w:rPr>
      </w:pPr>
    </w:p>
    <w:p w:rsidR="00CD4514" w:rsidRPr="00812EB3" w:rsidRDefault="00201D8F" w:rsidP="00477F96">
      <w:pPr>
        <w:tabs>
          <w:tab w:val="left" w:pos="2016"/>
          <w:tab w:val="left" w:pos="2595"/>
        </w:tabs>
        <w:spacing w:after="0" w:line="240" w:lineRule="auto"/>
        <w:ind w:hanging="142"/>
        <w:rPr>
          <w:rFonts w:ascii="Arial" w:hAnsi="Arial" w:cs="Arial"/>
        </w:rPr>
      </w:pPr>
      <w:r w:rsidRPr="00812EB3">
        <w:rPr>
          <w:rFonts w:ascii="Arial" w:hAnsi="Arial" w:cs="Arial"/>
          <w:sz w:val="18"/>
          <w:szCs w:val="18"/>
        </w:rPr>
        <w:t xml:space="preserve">   </w:t>
      </w:r>
      <w:r w:rsidR="00CD4514" w:rsidRPr="00812EB3">
        <w:rPr>
          <w:rFonts w:ascii="Arial" w:hAnsi="Arial" w:cs="Arial"/>
          <w:sz w:val="18"/>
          <w:szCs w:val="18"/>
        </w:rPr>
        <w:t>Value in USD million</w:t>
      </w:r>
      <w:r w:rsidR="00CD4514" w:rsidRPr="00812EB3">
        <w:rPr>
          <w:rFonts w:ascii="Arial" w:hAnsi="Arial" w:cs="Arial"/>
          <w:sz w:val="18"/>
          <w:szCs w:val="18"/>
        </w:rPr>
        <w:tab/>
      </w:r>
      <w:r w:rsidR="00CD4514" w:rsidRPr="00812EB3">
        <w:rPr>
          <w:rFonts w:ascii="Arial" w:hAnsi="Arial" w:cs="Arial"/>
          <w:sz w:val="18"/>
          <w:szCs w:val="18"/>
        </w:rPr>
        <w:tab/>
      </w:r>
    </w:p>
    <w:tbl>
      <w:tblPr>
        <w:bidiVisual/>
        <w:tblW w:w="9072" w:type="dxa"/>
        <w:jc w:val="center"/>
        <w:tblBorders>
          <w:top w:val="single" w:sz="12" w:space="0" w:color="auto"/>
          <w:bottom w:val="single" w:sz="12" w:space="0" w:color="auto"/>
        </w:tblBorders>
        <w:tblLayout w:type="fixed"/>
        <w:tblLook w:val="0000"/>
      </w:tblPr>
      <w:tblGrid>
        <w:gridCol w:w="969"/>
        <w:gridCol w:w="924"/>
        <w:gridCol w:w="858"/>
        <w:gridCol w:w="858"/>
        <w:gridCol w:w="858"/>
        <w:gridCol w:w="1061"/>
        <w:gridCol w:w="3544"/>
      </w:tblGrid>
      <w:tr w:rsidR="00CD4514" w:rsidRPr="00812EB3" w:rsidTr="00812EB3">
        <w:trPr>
          <w:trHeight w:val="340"/>
          <w:jc w:val="center"/>
        </w:trPr>
        <w:tc>
          <w:tcPr>
            <w:tcW w:w="534" w:type="pct"/>
            <w:tcBorders>
              <w:top w:val="single" w:sz="12" w:space="0" w:color="auto"/>
              <w:bottom w:val="single" w:sz="12" w:space="0" w:color="auto"/>
            </w:tcBorders>
            <w:vAlign w:val="center"/>
          </w:tcPr>
          <w:p w:rsidR="00CD4514" w:rsidRPr="009F0F85" w:rsidRDefault="00CD4514" w:rsidP="00477F96">
            <w:pPr>
              <w:pStyle w:val="Footer"/>
              <w:tabs>
                <w:tab w:val="clear" w:pos="4153"/>
                <w:tab w:val="clear" w:pos="8306"/>
              </w:tabs>
              <w:jc w:val="center"/>
              <w:rPr>
                <w:rFonts w:ascii="Arial" w:hAnsi="Arial" w:cs="Arial"/>
                <w:b/>
                <w:bCs/>
                <w:sz w:val="16"/>
                <w:szCs w:val="16"/>
              </w:rPr>
            </w:pPr>
            <w:r w:rsidRPr="009F0F85">
              <w:rPr>
                <w:rFonts w:ascii="Arial" w:hAnsi="Arial" w:cs="Arial"/>
                <w:b/>
                <w:bCs/>
                <w:sz w:val="16"/>
                <w:szCs w:val="16"/>
              </w:rPr>
              <w:t>201</w:t>
            </w:r>
            <w:r w:rsidRPr="009F0F85">
              <w:rPr>
                <w:rFonts w:ascii="Arial" w:hAnsi="Arial" w:cs="Arial"/>
                <w:b/>
                <w:bCs/>
                <w:sz w:val="16"/>
                <w:szCs w:val="16"/>
                <w:rtl/>
              </w:rPr>
              <w:t>8</w:t>
            </w:r>
          </w:p>
        </w:tc>
        <w:tc>
          <w:tcPr>
            <w:tcW w:w="509" w:type="pct"/>
            <w:tcBorders>
              <w:top w:val="single" w:sz="12" w:space="0" w:color="auto"/>
              <w:bottom w:val="single" w:sz="12" w:space="0" w:color="auto"/>
            </w:tcBorders>
            <w:vAlign w:val="center"/>
          </w:tcPr>
          <w:p w:rsidR="00CD4514" w:rsidRPr="009F0F85" w:rsidRDefault="00CD4514" w:rsidP="00477F96">
            <w:pPr>
              <w:pStyle w:val="Footer"/>
              <w:tabs>
                <w:tab w:val="clear" w:pos="4153"/>
                <w:tab w:val="clear" w:pos="8306"/>
              </w:tabs>
              <w:jc w:val="center"/>
              <w:rPr>
                <w:rFonts w:ascii="Arial" w:hAnsi="Arial" w:cs="Arial"/>
                <w:b/>
                <w:bCs/>
                <w:sz w:val="16"/>
                <w:szCs w:val="16"/>
              </w:rPr>
            </w:pPr>
            <w:r w:rsidRPr="009F0F85">
              <w:rPr>
                <w:rFonts w:ascii="Arial" w:hAnsi="Arial" w:cs="Arial"/>
                <w:b/>
                <w:bCs/>
                <w:sz w:val="16"/>
                <w:szCs w:val="16"/>
                <w:rtl/>
              </w:rPr>
              <w:t>2017</w:t>
            </w:r>
          </w:p>
        </w:tc>
        <w:tc>
          <w:tcPr>
            <w:tcW w:w="473" w:type="pct"/>
            <w:tcBorders>
              <w:top w:val="single" w:sz="12" w:space="0" w:color="auto"/>
              <w:bottom w:val="single" w:sz="12" w:space="0" w:color="auto"/>
            </w:tcBorders>
            <w:vAlign w:val="center"/>
          </w:tcPr>
          <w:p w:rsidR="00CD4514" w:rsidRPr="009F0F85" w:rsidRDefault="00CD4514" w:rsidP="00477F96">
            <w:pPr>
              <w:pStyle w:val="Footer"/>
              <w:tabs>
                <w:tab w:val="clear" w:pos="4153"/>
                <w:tab w:val="clear" w:pos="8306"/>
              </w:tabs>
              <w:jc w:val="center"/>
              <w:rPr>
                <w:rFonts w:ascii="Arial" w:hAnsi="Arial" w:cs="Arial"/>
                <w:b/>
                <w:bCs/>
                <w:sz w:val="16"/>
                <w:szCs w:val="16"/>
              </w:rPr>
            </w:pPr>
            <w:r w:rsidRPr="009F0F85">
              <w:rPr>
                <w:rFonts w:ascii="Arial" w:hAnsi="Arial" w:cs="Arial"/>
                <w:b/>
                <w:bCs/>
                <w:sz w:val="16"/>
                <w:szCs w:val="16"/>
                <w:rtl/>
              </w:rPr>
              <w:t>2016</w:t>
            </w:r>
          </w:p>
        </w:tc>
        <w:tc>
          <w:tcPr>
            <w:tcW w:w="473" w:type="pct"/>
            <w:tcBorders>
              <w:top w:val="single" w:sz="12" w:space="0" w:color="auto"/>
              <w:bottom w:val="single" w:sz="12" w:space="0" w:color="auto"/>
            </w:tcBorders>
            <w:vAlign w:val="center"/>
          </w:tcPr>
          <w:p w:rsidR="00CD4514" w:rsidRPr="009F0F85" w:rsidRDefault="00CD4514" w:rsidP="00477F96">
            <w:pPr>
              <w:pStyle w:val="Footer"/>
              <w:tabs>
                <w:tab w:val="clear" w:pos="4153"/>
                <w:tab w:val="clear" w:pos="8306"/>
              </w:tabs>
              <w:jc w:val="center"/>
              <w:rPr>
                <w:rFonts w:ascii="Arial" w:hAnsi="Arial" w:cs="Arial"/>
                <w:b/>
                <w:bCs/>
                <w:sz w:val="16"/>
                <w:szCs w:val="16"/>
              </w:rPr>
            </w:pPr>
            <w:r w:rsidRPr="009F0F85">
              <w:rPr>
                <w:rFonts w:ascii="Arial" w:hAnsi="Arial" w:cs="Arial"/>
                <w:b/>
                <w:bCs/>
                <w:sz w:val="16"/>
                <w:szCs w:val="16"/>
                <w:rtl/>
              </w:rPr>
              <w:t>2015</w:t>
            </w:r>
          </w:p>
        </w:tc>
        <w:tc>
          <w:tcPr>
            <w:tcW w:w="473" w:type="pct"/>
            <w:tcBorders>
              <w:top w:val="single" w:sz="12" w:space="0" w:color="auto"/>
              <w:bottom w:val="single" w:sz="12" w:space="0" w:color="auto"/>
            </w:tcBorders>
            <w:vAlign w:val="center"/>
          </w:tcPr>
          <w:p w:rsidR="00CD4514" w:rsidRPr="009F0F85" w:rsidRDefault="00CD4514" w:rsidP="00477F96">
            <w:pPr>
              <w:pStyle w:val="Footer"/>
              <w:tabs>
                <w:tab w:val="clear" w:pos="4153"/>
                <w:tab w:val="clear" w:pos="8306"/>
              </w:tabs>
              <w:jc w:val="center"/>
              <w:rPr>
                <w:rFonts w:ascii="Arial" w:hAnsi="Arial" w:cs="Arial"/>
                <w:b/>
                <w:bCs/>
                <w:sz w:val="16"/>
                <w:szCs w:val="16"/>
              </w:rPr>
            </w:pPr>
            <w:r w:rsidRPr="009F0F85">
              <w:rPr>
                <w:rFonts w:ascii="Arial" w:hAnsi="Arial" w:cs="Arial"/>
                <w:b/>
                <w:bCs/>
                <w:sz w:val="16"/>
                <w:szCs w:val="16"/>
                <w:rtl/>
              </w:rPr>
              <w:t>2014</w:t>
            </w:r>
          </w:p>
        </w:tc>
        <w:tc>
          <w:tcPr>
            <w:tcW w:w="585" w:type="pct"/>
            <w:tcBorders>
              <w:top w:val="single" w:sz="12" w:space="0" w:color="auto"/>
              <w:bottom w:val="single" w:sz="12" w:space="0" w:color="auto"/>
            </w:tcBorders>
            <w:vAlign w:val="center"/>
          </w:tcPr>
          <w:p w:rsidR="00CD4514" w:rsidRPr="009F0F85" w:rsidRDefault="00CD4514" w:rsidP="00477F96">
            <w:pPr>
              <w:pStyle w:val="Footer"/>
              <w:tabs>
                <w:tab w:val="clear" w:pos="4153"/>
                <w:tab w:val="clear" w:pos="8306"/>
              </w:tabs>
              <w:jc w:val="center"/>
              <w:rPr>
                <w:rFonts w:ascii="Arial" w:hAnsi="Arial" w:cs="Arial"/>
                <w:b/>
                <w:bCs/>
                <w:sz w:val="16"/>
                <w:szCs w:val="16"/>
                <w:rtl/>
              </w:rPr>
            </w:pPr>
            <w:r w:rsidRPr="009F0F85">
              <w:rPr>
                <w:rFonts w:ascii="Arial" w:hAnsi="Arial" w:cs="Arial"/>
                <w:b/>
                <w:bCs/>
                <w:sz w:val="16"/>
                <w:szCs w:val="16"/>
                <w:rtl/>
              </w:rPr>
              <w:t>2013</w:t>
            </w:r>
          </w:p>
        </w:tc>
        <w:tc>
          <w:tcPr>
            <w:tcW w:w="1954" w:type="pct"/>
            <w:tcBorders>
              <w:top w:val="single" w:sz="12" w:space="0" w:color="auto"/>
              <w:bottom w:val="single" w:sz="12" w:space="0" w:color="auto"/>
            </w:tcBorders>
            <w:vAlign w:val="center"/>
          </w:tcPr>
          <w:p w:rsidR="00CD4514" w:rsidRPr="009F0F85" w:rsidRDefault="00CD4514" w:rsidP="00477F96">
            <w:pPr>
              <w:pStyle w:val="Footer"/>
              <w:tabs>
                <w:tab w:val="clear" w:pos="4153"/>
                <w:tab w:val="clear" w:pos="8306"/>
              </w:tabs>
              <w:jc w:val="center"/>
              <w:rPr>
                <w:rFonts w:ascii="Arial" w:hAnsi="Arial" w:cs="Arial"/>
                <w:b/>
                <w:bCs/>
                <w:sz w:val="16"/>
                <w:szCs w:val="16"/>
                <w:rtl/>
              </w:rPr>
            </w:pPr>
            <w:r w:rsidRPr="009F0F85">
              <w:rPr>
                <w:rFonts w:ascii="Arial" w:hAnsi="Arial" w:cs="Arial"/>
                <w:b/>
                <w:bCs/>
                <w:sz w:val="16"/>
                <w:szCs w:val="16"/>
              </w:rPr>
              <w:t>Item</w:t>
            </w:r>
          </w:p>
        </w:tc>
      </w:tr>
      <w:tr w:rsidR="00CD4514" w:rsidRPr="00812EB3" w:rsidTr="008361CC">
        <w:trPr>
          <w:trHeight w:val="340"/>
          <w:jc w:val="center"/>
        </w:trPr>
        <w:tc>
          <w:tcPr>
            <w:tcW w:w="534" w:type="pct"/>
            <w:tcBorders>
              <w:top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4,108.7</w:t>
            </w:r>
          </w:p>
        </w:tc>
        <w:tc>
          <w:tcPr>
            <w:tcW w:w="509" w:type="pct"/>
            <w:tcBorders>
              <w:top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4,287.3</w:t>
            </w:r>
          </w:p>
        </w:tc>
        <w:tc>
          <w:tcPr>
            <w:tcW w:w="473" w:type="pct"/>
            <w:tcBorders>
              <w:top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4,324.3</w:t>
            </w:r>
          </w:p>
        </w:tc>
        <w:tc>
          <w:tcPr>
            <w:tcW w:w="473" w:type="pct"/>
            <w:tcBorders>
              <w:top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3,608.2</w:t>
            </w:r>
          </w:p>
        </w:tc>
        <w:tc>
          <w:tcPr>
            <w:tcW w:w="473" w:type="pct"/>
            <w:tcBorders>
              <w:top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4,043.3</w:t>
            </w:r>
          </w:p>
        </w:tc>
        <w:tc>
          <w:tcPr>
            <w:tcW w:w="585" w:type="pct"/>
            <w:tcBorders>
              <w:top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3,673.9</w:t>
            </w:r>
          </w:p>
        </w:tc>
        <w:tc>
          <w:tcPr>
            <w:tcW w:w="1954" w:type="pct"/>
            <w:tcBorders>
              <w:top w:val="single" w:sz="12" w:space="0" w:color="auto"/>
            </w:tcBorders>
          </w:tcPr>
          <w:p w:rsidR="00CD4514" w:rsidRPr="009F0F85" w:rsidRDefault="00CD4514" w:rsidP="00812EB3">
            <w:pPr>
              <w:spacing w:after="0" w:line="240" w:lineRule="auto"/>
              <w:rPr>
                <w:rFonts w:ascii="Arial" w:hAnsi="Arial" w:cs="Arial"/>
                <w:b/>
                <w:bCs/>
                <w:sz w:val="16"/>
                <w:szCs w:val="16"/>
                <w:rtl/>
              </w:rPr>
            </w:pPr>
            <w:r w:rsidRPr="009F0F85">
              <w:rPr>
                <w:rFonts w:ascii="Arial" w:hAnsi="Arial" w:cs="Arial"/>
                <w:b/>
                <w:bCs/>
                <w:sz w:val="16"/>
                <w:szCs w:val="16"/>
              </w:rPr>
              <w:t>First: Total public revenues and grants (net)</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3,433.2</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3,567.8</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3,559.7</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2,810.1</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2,810.2</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2,312.4</w:t>
            </w:r>
          </w:p>
        </w:tc>
        <w:tc>
          <w:tcPr>
            <w:tcW w:w="1954" w:type="pct"/>
          </w:tcPr>
          <w:p w:rsidR="00CD4514" w:rsidRPr="009F0F85" w:rsidRDefault="00614B03" w:rsidP="00812EB3">
            <w:pPr>
              <w:tabs>
                <w:tab w:val="left" w:pos="426"/>
              </w:tabs>
              <w:spacing w:after="0" w:line="240" w:lineRule="auto"/>
              <w:rPr>
                <w:rFonts w:ascii="Arial" w:hAnsi="Arial" w:cs="Arial"/>
                <w:b/>
                <w:bCs/>
                <w:sz w:val="16"/>
                <w:szCs w:val="16"/>
              </w:rPr>
            </w:pPr>
            <w:r w:rsidRPr="009F0F85">
              <w:rPr>
                <w:rFonts w:ascii="Arial" w:hAnsi="Arial" w:cs="Arial"/>
                <w:b/>
                <w:bCs/>
                <w:sz w:val="16"/>
                <w:szCs w:val="16"/>
              </w:rPr>
              <w:t xml:space="preserve">   </w:t>
            </w:r>
            <w:r w:rsidR="00CD4514" w:rsidRPr="009F0F85">
              <w:rPr>
                <w:rFonts w:ascii="Arial" w:hAnsi="Arial" w:cs="Arial"/>
                <w:b/>
                <w:bCs/>
                <w:sz w:val="16"/>
                <w:szCs w:val="16"/>
              </w:rPr>
              <w:t>1. Total public revenues (net)</w:t>
            </w:r>
            <w:r w:rsidR="00CD4514" w:rsidRPr="009F0F85">
              <w:rPr>
                <w:rFonts w:ascii="Arial" w:hAnsi="Arial" w:cs="Arial"/>
                <w:b/>
                <w:bCs/>
                <w:sz w:val="16"/>
                <w:szCs w:val="16"/>
                <w:rtl/>
              </w:rPr>
              <w:t xml:space="preserve"> </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3,604.3</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3,640.2</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3,652.7</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2,964.2</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2,986.1</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2,543.3</w:t>
            </w:r>
          </w:p>
        </w:tc>
        <w:tc>
          <w:tcPr>
            <w:tcW w:w="1954" w:type="pct"/>
          </w:tcPr>
          <w:p w:rsidR="00CD4514" w:rsidRPr="009F0F85" w:rsidRDefault="00CD4514" w:rsidP="00812EB3">
            <w:pPr>
              <w:spacing w:after="0" w:line="240" w:lineRule="auto"/>
              <w:rPr>
                <w:rFonts w:ascii="Arial" w:hAnsi="Arial" w:cs="Arial"/>
                <w:b/>
                <w:bCs/>
                <w:sz w:val="16"/>
                <w:szCs w:val="16"/>
                <w:rtl/>
              </w:rPr>
            </w:pPr>
            <w:r w:rsidRPr="009F0F85">
              <w:rPr>
                <w:rFonts w:ascii="Arial" w:hAnsi="Arial" w:cs="Arial"/>
                <w:b/>
                <w:bCs/>
                <w:sz w:val="16"/>
                <w:szCs w:val="16"/>
              </w:rPr>
              <w:t xml:space="preserve">  </w:t>
            </w:r>
            <w:r w:rsidRPr="009F0F85">
              <w:rPr>
                <w:rFonts w:ascii="Arial" w:hAnsi="Arial" w:cs="Arial"/>
                <w:b/>
                <w:bCs/>
                <w:sz w:val="16"/>
                <w:szCs w:val="16"/>
                <w:rtl/>
              </w:rPr>
              <w:t xml:space="preserve"> </w:t>
            </w:r>
            <w:r w:rsidRPr="009F0F85">
              <w:rPr>
                <w:rFonts w:ascii="Arial" w:hAnsi="Arial" w:cs="Arial"/>
                <w:b/>
                <w:bCs/>
                <w:sz w:val="16"/>
                <w:szCs w:val="16"/>
              </w:rPr>
              <w:t>1.1 Total public revenues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1,349.3</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1,224.1</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1,315.0</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910.7</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932.6</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852.8</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 xml:space="preserve">   1.1.1 Gross domestic revenues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839.6</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761.9</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625.9</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605.2</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601.9</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597.6</w:t>
            </w:r>
          </w:p>
        </w:tc>
        <w:tc>
          <w:tcPr>
            <w:tcW w:w="1954" w:type="pct"/>
          </w:tcPr>
          <w:p w:rsidR="00CD4514" w:rsidRPr="009F0F85" w:rsidRDefault="00CD4514" w:rsidP="00812EB3">
            <w:pPr>
              <w:spacing w:after="0" w:line="240" w:lineRule="auto"/>
              <w:rPr>
                <w:rFonts w:ascii="Arial" w:hAnsi="Arial" w:cs="Arial"/>
                <w:sz w:val="16"/>
                <w:szCs w:val="16"/>
              </w:rPr>
            </w:pPr>
            <w:r w:rsidRPr="009F0F85">
              <w:rPr>
                <w:rFonts w:ascii="Arial" w:hAnsi="Arial" w:cs="Arial"/>
                <w:sz w:val="16"/>
                <w:szCs w:val="16"/>
              </w:rPr>
              <w:t xml:space="preserve">           Tax</w:t>
            </w:r>
            <w:r w:rsidRPr="009F0F85">
              <w:rPr>
                <w:rFonts w:ascii="Arial" w:hAnsi="Arial" w:cs="Arial"/>
                <w:sz w:val="16"/>
                <w:szCs w:val="16"/>
                <w:rtl/>
              </w:rPr>
              <w:t xml:space="preserve"> </w:t>
            </w:r>
            <w:r w:rsidRPr="009F0F85">
              <w:rPr>
                <w:rFonts w:ascii="Arial" w:hAnsi="Arial" w:cs="Arial"/>
                <w:sz w:val="16"/>
                <w:szCs w:val="16"/>
              </w:rPr>
              <w:t>revenues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432.8</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388.9</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604.5</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249.0</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270.5</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255.2</w:t>
            </w:r>
          </w:p>
        </w:tc>
        <w:tc>
          <w:tcPr>
            <w:tcW w:w="1954" w:type="pct"/>
          </w:tcPr>
          <w:p w:rsidR="00CD4514" w:rsidRPr="009F0F85" w:rsidRDefault="00CD4514" w:rsidP="00812EB3">
            <w:pPr>
              <w:spacing w:after="0" w:line="240" w:lineRule="auto"/>
              <w:rPr>
                <w:rFonts w:ascii="Arial" w:hAnsi="Arial" w:cs="Arial"/>
                <w:sz w:val="16"/>
                <w:szCs w:val="16"/>
              </w:rPr>
            </w:pPr>
            <w:r w:rsidRPr="009F0F85">
              <w:rPr>
                <w:rFonts w:ascii="Arial" w:hAnsi="Arial" w:cs="Arial"/>
                <w:sz w:val="16"/>
                <w:szCs w:val="16"/>
              </w:rPr>
              <w:t xml:space="preserve">           Nontax revenues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76.9</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73.3</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84.6</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56.5</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60.2</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0.0</w:t>
            </w:r>
          </w:p>
        </w:tc>
        <w:tc>
          <w:tcPr>
            <w:tcW w:w="1954" w:type="pct"/>
          </w:tcPr>
          <w:p w:rsidR="00CD4514" w:rsidRPr="009F0F85" w:rsidRDefault="00CD4514" w:rsidP="00812EB3">
            <w:pPr>
              <w:spacing w:after="0" w:line="240" w:lineRule="auto"/>
              <w:rPr>
                <w:rFonts w:ascii="Arial" w:hAnsi="Arial" w:cs="Arial"/>
                <w:sz w:val="16"/>
                <w:szCs w:val="16"/>
              </w:rPr>
            </w:pPr>
            <w:r w:rsidRPr="009F0F85">
              <w:rPr>
                <w:rFonts w:ascii="Arial" w:hAnsi="Arial" w:cs="Arial"/>
                <w:sz w:val="16"/>
                <w:szCs w:val="16"/>
              </w:rPr>
              <w:t xml:space="preserve">           Earmarked collections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2,255.0</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2,416.1</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2,337.7</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2,053.5</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2,053.5</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1,690.5</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 xml:space="preserve">   1.1.2 Clearance revenues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171.1</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72.4</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93.0</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154.1</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175.9</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230.9</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 xml:space="preserve">   1.2 Tax refunds</w:t>
            </w:r>
            <w:r w:rsidRPr="009F0F85">
              <w:rPr>
                <w:rFonts w:ascii="Arial" w:hAnsi="Arial" w:cs="Arial"/>
                <w:b/>
                <w:bCs/>
                <w:sz w:val="16"/>
                <w:szCs w:val="16"/>
                <w:rtl/>
              </w:rPr>
              <w:t xml:space="preserve"> </w:t>
            </w:r>
            <w:r w:rsidRPr="009F0F85">
              <w:rPr>
                <w:rFonts w:ascii="Arial" w:hAnsi="Arial" w:cs="Arial"/>
                <w:b/>
                <w:bCs/>
                <w:sz w:val="16"/>
                <w:szCs w:val="16"/>
              </w:rPr>
              <w:t>(-)</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675.5</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719.5</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764.6</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798.1</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1,233.1</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1,361.5</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 xml:space="preserve">   2. External financing (grants)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515.6</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544.5</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606.7</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708.8</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1,029.7</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1,255.3</w:t>
            </w:r>
          </w:p>
        </w:tc>
        <w:tc>
          <w:tcPr>
            <w:tcW w:w="1954" w:type="pct"/>
          </w:tcPr>
          <w:p w:rsidR="00CD4514" w:rsidRPr="009F0F85" w:rsidRDefault="00CD4514" w:rsidP="00812EB3">
            <w:pPr>
              <w:spacing w:after="0" w:line="240" w:lineRule="auto"/>
              <w:rPr>
                <w:rFonts w:ascii="Arial" w:hAnsi="Arial" w:cs="Arial"/>
                <w:sz w:val="16"/>
                <w:szCs w:val="16"/>
              </w:rPr>
            </w:pPr>
            <w:r w:rsidRPr="009F0F85">
              <w:rPr>
                <w:rFonts w:ascii="Arial" w:hAnsi="Arial" w:cs="Arial"/>
                <w:sz w:val="16"/>
                <w:szCs w:val="16"/>
              </w:rPr>
              <w:t xml:space="preserve">       Budgetary support</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159.9</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175.0</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157.9</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89.3</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203.4</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106.2</w:t>
            </w:r>
          </w:p>
        </w:tc>
        <w:tc>
          <w:tcPr>
            <w:tcW w:w="1954" w:type="pct"/>
          </w:tcPr>
          <w:p w:rsidR="00CD4514" w:rsidRPr="009F0F85" w:rsidRDefault="00CD4514" w:rsidP="00812EB3">
            <w:pPr>
              <w:spacing w:after="0" w:line="240" w:lineRule="auto"/>
              <w:rPr>
                <w:rFonts w:ascii="Arial" w:hAnsi="Arial" w:cs="Arial"/>
                <w:sz w:val="16"/>
                <w:szCs w:val="16"/>
              </w:rPr>
            </w:pPr>
            <w:r w:rsidRPr="009F0F85">
              <w:rPr>
                <w:rFonts w:ascii="Arial" w:hAnsi="Arial" w:cs="Arial"/>
                <w:sz w:val="16"/>
                <w:szCs w:val="16"/>
              </w:rPr>
              <w:t xml:space="preserve">       Development financing</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4,517.4</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4,796.6</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4,645.7</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4,258.6</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4,400.2</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3,880.6</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Second: Total public expenditures</w:t>
            </w:r>
            <w:r w:rsidRPr="009F0F85">
              <w:rPr>
                <w:rFonts w:ascii="Arial" w:hAnsi="Arial" w:cs="Arial"/>
                <w:b/>
                <w:bCs/>
                <w:sz w:val="16"/>
                <w:szCs w:val="16"/>
                <w:rtl/>
              </w:rPr>
              <w:t xml:space="preserve"> </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4,153.8</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4,430.6</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4,308.9</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4,029.0</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4,137.6</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3,694.0</w:t>
            </w:r>
          </w:p>
        </w:tc>
        <w:tc>
          <w:tcPr>
            <w:tcW w:w="1954" w:type="pct"/>
          </w:tcPr>
          <w:p w:rsidR="00CD4514" w:rsidRPr="009F0F85" w:rsidRDefault="00CD4514" w:rsidP="00812EB3">
            <w:pPr>
              <w:tabs>
                <w:tab w:val="left" w:pos="426"/>
              </w:tabs>
              <w:spacing w:after="0" w:line="240" w:lineRule="auto"/>
              <w:rPr>
                <w:rFonts w:ascii="Arial" w:hAnsi="Arial" w:cs="Arial"/>
                <w:b/>
                <w:bCs/>
                <w:sz w:val="16"/>
                <w:szCs w:val="16"/>
              </w:rPr>
            </w:pPr>
            <w:r w:rsidRPr="009F0F85">
              <w:rPr>
                <w:rFonts w:ascii="Arial" w:hAnsi="Arial" w:cs="Arial"/>
                <w:b/>
                <w:bCs/>
                <w:sz w:val="16"/>
                <w:szCs w:val="16"/>
              </w:rPr>
              <w:t xml:space="preserve">    1. Current expenditures and net lending</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1,799.3</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2,114.0</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2,051.7</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1,912.5</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2,055.0</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1,919.0</w:t>
            </w:r>
          </w:p>
        </w:tc>
        <w:tc>
          <w:tcPr>
            <w:tcW w:w="1954" w:type="pct"/>
          </w:tcPr>
          <w:p w:rsidR="00CD4514" w:rsidRPr="009F0F85" w:rsidRDefault="00CD4514" w:rsidP="00812EB3">
            <w:pPr>
              <w:spacing w:after="0" w:line="240" w:lineRule="auto"/>
              <w:rPr>
                <w:rFonts w:ascii="Arial" w:hAnsi="Arial" w:cs="Arial"/>
                <w:sz w:val="16"/>
                <w:szCs w:val="16"/>
              </w:rPr>
            </w:pPr>
            <w:r w:rsidRPr="009F0F85">
              <w:rPr>
                <w:rFonts w:ascii="Arial" w:hAnsi="Arial" w:cs="Arial"/>
                <w:sz w:val="16"/>
                <w:szCs w:val="16"/>
              </w:rPr>
              <w:t xml:space="preserve">       Wages and salaries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2,006.6</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1,977.5</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1,903.2</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1,759.4</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1,736.0</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1,564.5</w:t>
            </w:r>
          </w:p>
        </w:tc>
        <w:tc>
          <w:tcPr>
            <w:tcW w:w="1954" w:type="pct"/>
          </w:tcPr>
          <w:p w:rsidR="00CD4514" w:rsidRPr="009F0F85" w:rsidRDefault="00CD4514" w:rsidP="00812EB3">
            <w:pPr>
              <w:spacing w:after="0" w:line="240" w:lineRule="auto"/>
              <w:rPr>
                <w:rFonts w:ascii="Arial" w:hAnsi="Arial" w:cs="Arial"/>
                <w:sz w:val="16"/>
                <w:szCs w:val="16"/>
              </w:rPr>
            </w:pPr>
            <w:r w:rsidRPr="009F0F85">
              <w:rPr>
                <w:rFonts w:ascii="Arial" w:hAnsi="Arial" w:cs="Arial"/>
                <w:sz w:val="16"/>
                <w:szCs w:val="16"/>
              </w:rPr>
              <w:t xml:space="preserve">       Non-wages expenditures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76.9</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73.3</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84.6</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56.5</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60.2</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0.0</w:t>
            </w:r>
          </w:p>
        </w:tc>
        <w:tc>
          <w:tcPr>
            <w:tcW w:w="1954" w:type="pct"/>
          </w:tcPr>
          <w:p w:rsidR="00CD4514" w:rsidRPr="009F0F85" w:rsidRDefault="00CD4514" w:rsidP="00812EB3">
            <w:pPr>
              <w:spacing w:after="0" w:line="240" w:lineRule="auto"/>
              <w:rPr>
                <w:rFonts w:ascii="Arial" w:hAnsi="Arial" w:cs="Arial"/>
                <w:sz w:val="16"/>
                <w:szCs w:val="16"/>
                <w:rtl/>
              </w:rPr>
            </w:pPr>
            <w:r w:rsidRPr="009F0F85">
              <w:rPr>
                <w:rFonts w:ascii="Arial" w:hAnsi="Arial" w:cs="Arial"/>
                <w:sz w:val="16"/>
                <w:szCs w:val="16"/>
              </w:rPr>
              <w:t xml:space="preserve">       Earmarked payments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271.0</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265.8</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269.4</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300.6</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286.4</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210.5</w:t>
            </w:r>
          </w:p>
        </w:tc>
        <w:tc>
          <w:tcPr>
            <w:tcW w:w="1954" w:type="pct"/>
          </w:tcPr>
          <w:p w:rsidR="00CD4514" w:rsidRPr="009F0F85" w:rsidRDefault="00CD4514" w:rsidP="00812EB3">
            <w:pPr>
              <w:spacing w:after="0" w:line="240" w:lineRule="auto"/>
              <w:rPr>
                <w:rFonts w:ascii="Arial" w:hAnsi="Arial" w:cs="Arial"/>
                <w:sz w:val="16"/>
                <w:szCs w:val="16"/>
                <w:rtl/>
              </w:rPr>
            </w:pPr>
            <w:r w:rsidRPr="009F0F85">
              <w:rPr>
                <w:rFonts w:ascii="Arial" w:hAnsi="Arial" w:cs="Arial"/>
                <w:sz w:val="16"/>
                <w:szCs w:val="16"/>
              </w:rPr>
              <w:t xml:space="preserve">       Net lending</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363.6</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366.0</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336.8</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229.6</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262.6</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186.6</w:t>
            </w:r>
          </w:p>
        </w:tc>
        <w:tc>
          <w:tcPr>
            <w:tcW w:w="1954" w:type="pct"/>
          </w:tcPr>
          <w:p w:rsidR="00CD4514" w:rsidRPr="009F0F85" w:rsidRDefault="00CD4514" w:rsidP="00812EB3">
            <w:pPr>
              <w:tabs>
                <w:tab w:val="left" w:pos="426"/>
              </w:tabs>
              <w:spacing w:after="0" w:line="240" w:lineRule="auto"/>
              <w:rPr>
                <w:rFonts w:ascii="Arial" w:hAnsi="Arial" w:cs="Arial"/>
                <w:b/>
                <w:bCs/>
                <w:sz w:val="16"/>
                <w:szCs w:val="16"/>
                <w:rtl/>
              </w:rPr>
            </w:pPr>
            <w:r w:rsidRPr="009F0F85">
              <w:rPr>
                <w:rFonts w:ascii="Arial" w:hAnsi="Arial" w:cs="Arial"/>
                <w:b/>
                <w:bCs/>
                <w:sz w:val="16"/>
                <w:szCs w:val="16"/>
              </w:rPr>
              <w:t xml:space="preserve">      2. Development Expenditures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203.7</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191.0</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178.9</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140.3</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59.2</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80.4</w:t>
            </w:r>
          </w:p>
        </w:tc>
        <w:tc>
          <w:tcPr>
            <w:tcW w:w="1954" w:type="pct"/>
            <w:shd w:val="clear" w:color="auto" w:fill="auto"/>
          </w:tcPr>
          <w:p w:rsidR="00CD4514" w:rsidRPr="009F0F85" w:rsidRDefault="007C2DF0" w:rsidP="00812EB3">
            <w:pPr>
              <w:tabs>
                <w:tab w:val="left" w:pos="344"/>
              </w:tabs>
              <w:spacing w:after="0" w:line="240" w:lineRule="auto"/>
              <w:rPr>
                <w:rFonts w:ascii="Arial" w:hAnsi="Arial" w:cs="Arial"/>
                <w:sz w:val="16"/>
                <w:szCs w:val="16"/>
              </w:rPr>
            </w:pPr>
            <w:r w:rsidRPr="009F0F85">
              <w:rPr>
                <w:rFonts w:ascii="Arial" w:hAnsi="Arial" w:cs="Arial"/>
                <w:sz w:val="16"/>
                <w:szCs w:val="16"/>
              </w:rPr>
              <w:t xml:space="preserve">        </w:t>
            </w:r>
            <w:r w:rsidR="00CD4514" w:rsidRPr="009F0F85">
              <w:rPr>
                <w:rFonts w:ascii="Arial" w:hAnsi="Arial" w:cs="Arial"/>
                <w:sz w:val="16"/>
                <w:szCs w:val="16"/>
              </w:rPr>
              <w:t>Financed from budgetary</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159.9</w:t>
            </w:r>
          </w:p>
        </w:tc>
        <w:tc>
          <w:tcPr>
            <w:tcW w:w="509"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175.0</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157.9</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89.3</w:t>
            </w:r>
          </w:p>
        </w:tc>
        <w:tc>
          <w:tcPr>
            <w:tcW w:w="473"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203.4</w:t>
            </w:r>
          </w:p>
        </w:tc>
        <w:tc>
          <w:tcPr>
            <w:tcW w:w="585" w:type="pct"/>
          </w:tcPr>
          <w:p w:rsidR="00CD4514" w:rsidRPr="009F0F85" w:rsidRDefault="00CD4514" w:rsidP="008361CC">
            <w:pPr>
              <w:spacing w:after="0" w:line="240" w:lineRule="auto"/>
              <w:jc w:val="right"/>
              <w:rPr>
                <w:rFonts w:ascii="Arial" w:hAnsi="Arial" w:cs="Arial"/>
                <w:sz w:val="16"/>
                <w:szCs w:val="16"/>
              </w:rPr>
            </w:pPr>
            <w:r w:rsidRPr="009F0F85">
              <w:rPr>
                <w:rFonts w:ascii="Arial" w:hAnsi="Arial" w:cs="Arial"/>
                <w:sz w:val="16"/>
                <w:szCs w:val="16"/>
              </w:rPr>
              <w:t>106.2</w:t>
            </w:r>
          </w:p>
        </w:tc>
        <w:tc>
          <w:tcPr>
            <w:tcW w:w="1954" w:type="pct"/>
            <w:shd w:val="clear" w:color="auto" w:fill="auto"/>
          </w:tcPr>
          <w:p w:rsidR="00CD4514" w:rsidRPr="009F0F85" w:rsidRDefault="00CD4514" w:rsidP="00812EB3">
            <w:pPr>
              <w:spacing w:after="0" w:line="240" w:lineRule="auto"/>
              <w:rPr>
                <w:rFonts w:ascii="Arial" w:hAnsi="Arial" w:cs="Arial"/>
                <w:sz w:val="16"/>
                <w:szCs w:val="16"/>
              </w:rPr>
            </w:pPr>
            <w:r w:rsidRPr="009F0F85">
              <w:rPr>
                <w:rFonts w:ascii="Arial" w:hAnsi="Arial" w:cs="Arial"/>
                <w:sz w:val="16"/>
                <w:szCs w:val="16"/>
              </w:rPr>
              <w:t xml:space="preserve">        Financed from grants</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-720.6</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-862.8</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-749.2</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-1,218.9</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-1,327.4</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-1,381.6</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Third: Current balance (deficit/ surplus)</w:t>
            </w:r>
            <w:r w:rsidRPr="009F0F85">
              <w:rPr>
                <w:rFonts w:ascii="Arial" w:hAnsi="Arial" w:cs="Arial"/>
                <w:b/>
                <w:bCs/>
                <w:sz w:val="16"/>
                <w:szCs w:val="16"/>
                <w:rtl/>
              </w:rPr>
              <w:t xml:space="preserve"> </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-1,084.2</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-1,228.8</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-1,086.0</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-1,448.5</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-1,590.0</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-1,568.2</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Fourth: Overall balance (before grants)</w:t>
            </w:r>
            <w:r w:rsidRPr="009F0F85">
              <w:rPr>
                <w:rFonts w:ascii="Arial" w:hAnsi="Arial" w:cs="Arial"/>
                <w:b/>
                <w:bCs/>
                <w:sz w:val="16"/>
                <w:szCs w:val="16"/>
                <w:rtl/>
              </w:rPr>
              <w:t xml:space="preserve"> </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-408.7</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-509.3</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-321.4</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-650.4</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-356.9</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-206.7</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Fifth: Overall balance (after grants)</w:t>
            </w:r>
            <w:r w:rsidRPr="009F0F85">
              <w:rPr>
                <w:rFonts w:ascii="Arial" w:hAnsi="Arial" w:cs="Arial"/>
                <w:b/>
                <w:bCs/>
                <w:sz w:val="16"/>
                <w:szCs w:val="16"/>
                <w:rtl/>
              </w:rPr>
              <w:t xml:space="preserve"> </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159.5</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85.0</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-127.3</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163.0</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-141.9</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-247.9</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Sixth: Net domestic bank</w:t>
            </w:r>
            <w:r w:rsidRPr="009F0F85">
              <w:rPr>
                <w:rFonts w:ascii="Arial" w:hAnsi="Arial" w:cs="Arial"/>
                <w:b/>
                <w:bCs/>
                <w:sz w:val="16"/>
                <w:szCs w:val="16"/>
                <w:rtl/>
              </w:rPr>
              <w:t xml:space="preserve"> </w:t>
            </w:r>
            <w:r w:rsidRPr="009F0F85">
              <w:rPr>
                <w:rFonts w:ascii="Arial" w:hAnsi="Arial" w:cs="Arial"/>
                <w:b/>
                <w:bCs/>
                <w:sz w:val="16"/>
                <w:szCs w:val="16"/>
              </w:rPr>
              <w:t>financing</w:t>
            </w:r>
          </w:p>
        </w:tc>
      </w:tr>
      <w:tr w:rsidR="00CD4514" w:rsidRPr="00812EB3" w:rsidTr="008361CC">
        <w:trPr>
          <w:trHeight w:val="340"/>
          <w:jc w:val="center"/>
        </w:trPr>
        <w:tc>
          <w:tcPr>
            <w:tcW w:w="534"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215.4</w:t>
            </w:r>
          </w:p>
        </w:tc>
        <w:tc>
          <w:tcPr>
            <w:tcW w:w="509"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289.4</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474.5</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500.4</w:t>
            </w:r>
          </w:p>
        </w:tc>
        <w:tc>
          <w:tcPr>
            <w:tcW w:w="473"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508.0</w:t>
            </w:r>
          </w:p>
        </w:tc>
        <w:tc>
          <w:tcPr>
            <w:tcW w:w="585" w:type="pct"/>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473.0</w:t>
            </w:r>
          </w:p>
        </w:tc>
        <w:tc>
          <w:tcPr>
            <w:tcW w:w="1954" w:type="pct"/>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Seventh: Other</w:t>
            </w:r>
          </w:p>
        </w:tc>
      </w:tr>
      <w:tr w:rsidR="00CD4514" w:rsidRPr="00812EB3" w:rsidTr="008361CC">
        <w:trPr>
          <w:trHeight w:val="340"/>
          <w:jc w:val="center"/>
        </w:trPr>
        <w:tc>
          <w:tcPr>
            <w:tcW w:w="534" w:type="pct"/>
            <w:tcBorders>
              <w:bottom w:val="dashSmallGap" w:sz="4"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10.5</w:t>
            </w:r>
          </w:p>
        </w:tc>
        <w:tc>
          <w:tcPr>
            <w:tcW w:w="509" w:type="pct"/>
            <w:tcBorders>
              <w:bottom w:val="dashSmallGap" w:sz="4"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-0.5</w:t>
            </w:r>
          </w:p>
        </w:tc>
        <w:tc>
          <w:tcPr>
            <w:tcW w:w="473" w:type="pct"/>
            <w:tcBorders>
              <w:bottom w:val="dashSmallGap" w:sz="4"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4.4</w:t>
            </w:r>
          </w:p>
        </w:tc>
        <w:tc>
          <w:tcPr>
            <w:tcW w:w="473" w:type="pct"/>
            <w:tcBorders>
              <w:bottom w:val="dashSmallGap" w:sz="4"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5.0</w:t>
            </w:r>
          </w:p>
        </w:tc>
        <w:tc>
          <w:tcPr>
            <w:tcW w:w="473" w:type="pct"/>
            <w:tcBorders>
              <w:bottom w:val="dashSmallGap" w:sz="4"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-2.0</w:t>
            </w:r>
          </w:p>
        </w:tc>
        <w:tc>
          <w:tcPr>
            <w:tcW w:w="585" w:type="pct"/>
            <w:tcBorders>
              <w:bottom w:val="dashSmallGap" w:sz="4"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-10.6</w:t>
            </w:r>
          </w:p>
        </w:tc>
        <w:tc>
          <w:tcPr>
            <w:tcW w:w="1954" w:type="pct"/>
            <w:tcBorders>
              <w:bottom w:val="dashSmallGap" w:sz="4" w:space="0" w:color="auto"/>
            </w:tcBorders>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Eighth: Residual balance</w:t>
            </w:r>
          </w:p>
        </w:tc>
      </w:tr>
      <w:tr w:rsidR="00CD4514" w:rsidRPr="00812EB3" w:rsidTr="008361CC">
        <w:trPr>
          <w:trHeight w:val="340"/>
          <w:jc w:val="center"/>
        </w:trPr>
        <w:tc>
          <w:tcPr>
            <w:tcW w:w="534" w:type="pct"/>
            <w:tcBorders>
              <w:top w:val="dashSmallGap" w:sz="4" w:space="0" w:color="auto"/>
              <w:bottom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14,615.9*</w:t>
            </w:r>
          </w:p>
        </w:tc>
        <w:tc>
          <w:tcPr>
            <w:tcW w:w="509" w:type="pct"/>
            <w:tcBorders>
              <w:top w:val="dashSmallGap" w:sz="4" w:space="0" w:color="auto"/>
              <w:bottom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14,498.1*</w:t>
            </w:r>
          </w:p>
        </w:tc>
        <w:tc>
          <w:tcPr>
            <w:tcW w:w="473" w:type="pct"/>
            <w:tcBorders>
              <w:top w:val="dashSmallGap" w:sz="4" w:space="0" w:color="auto"/>
              <w:bottom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13,425.7</w:t>
            </w:r>
          </w:p>
        </w:tc>
        <w:tc>
          <w:tcPr>
            <w:tcW w:w="473" w:type="pct"/>
            <w:tcBorders>
              <w:top w:val="dashSmallGap" w:sz="4" w:space="0" w:color="auto"/>
              <w:bottom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12,673.0</w:t>
            </w:r>
          </w:p>
        </w:tc>
        <w:tc>
          <w:tcPr>
            <w:tcW w:w="473" w:type="pct"/>
            <w:tcBorders>
              <w:top w:val="dashSmallGap" w:sz="4" w:space="0" w:color="auto"/>
              <w:bottom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12,715.6</w:t>
            </w:r>
          </w:p>
        </w:tc>
        <w:tc>
          <w:tcPr>
            <w:tcW w:w="585" w:type="pct"/>
            <w:tcBorders>
              <w:top w:val="dashSmallGap" w:sz="4" w:space="0" w:color="auto"/>
              <w:bottom w:val="single" w:sz="12" w:space="0" w:color="auto"/>
            </w:tcBorders>
          </w:tcPr>
          <w:p w:rsidR="00CD4514" w:rsidRPr="009F0F85" w:rsidRDefault="00CD4514" w:rsidP="008361CC">
            <w:pPr>
              <w:spacing w:after="0" w:line="240" w:lineRule="auto"/>
              <w:jc w:val="right"/>
              <w:rPr>
                <w:rFonts w:ascii="Arial" w:hAnsi="Arial" w:cs="Arial"/>
                <w:b/>
                <w:bCs/>
                <w:sz w:val="16"/>
                <w:szCs w:val="16"/>
              </w:rPr>
            </w:pPr>
            <w:r w:rsidRPr="009F0F85">
              <w:rPr>
                <w:rFonts w:ascii="Arial" w:hAnsi="Arial" w:cs="Arial"/>
                <w:b/>
                <w:bCs/>
                <w:sz w:val="16"/>
                <w:szCs w:val="16"/>
              </w:rPr>
              <w:t>12,476.0</w:t>
            </w:r>
          </w:p>
        </w:tc>
        <w:tc>
          <w:tcPr>
            <w:tcW w:w="1954" w:type="pct"/>
            <w:tcBorders>
              <w:top w:val="dashSmallGap" w:sz="4" w:space="0" w:color="auto"/>
              <w:bottom w:val="single" w:sz="12" w:space="0" w:color="auto"/>
            </w:tcBorders>
          </w:tcPr>
          <w:p w:rsidR="00CD4514" w:rsidRPr="009F0F85" w:rsidRDefault="00CD4514" w:rsidP="00812EB3">
            <w:pPr>
              <w:spacing w:after="0" w:line="240" w:lineRule="auto"/>
              <w:rPr>
                <w:rFonts w:ascii="Arial" w:hAnsi="Arial" w:cs="Arial"/>
                <w:b/>
                <w:bCs/>
                <w:sz w:val="16"/>
                <w:szCs w:val="16"/>
              </w:rPr>
            </w:pPr>
            <w:r w:rsidRPr="009F0F85">
              <w:rPr>
                <w:rFonts w:ascii="Arial" w:hAnsi="Arial" w:cs="Arial"/>
                <w:b/>
                <w:bCs/>
                <w:sz w:val="16"/>
                <w:szCs w:val="16"/>
              </w:rPr>
              <w:t xml:space="preserve">GDP at Current Prices </w:t>
            </w:r>
          </w:p>
        </w:tc>
      </w:tr>
    </w:tbl>
    <w:p w:rsidR="00CD4514" w:rsidRPr="008A63DE" w:rsidRDefault="00CD4514" w:rsidP="00477F96">
      <w:pPr>
        <w:spacing w:after="0" w:line="240" w:lineRule="auto"/>
        <w:ind w:right="720"/>
        <w:jc w:val="both"/>
        <w:rPr>
          <w:rFonts w:ascii="Times New Roman" w:hAnsi="Times New Roman" w:cs="Times New Roman"/>
          <w:sz w:val="18"/>
          <w:szCs w:val="18"/>
        </w:rPr>
      </w:pPr>
      <w:r w:rsidRPr="008A63DE">
        <w:rPr>
          <w:rFonts w:ascii="Times New Roman" w:hAnsi="Times New Roman" w:cs="Times New Roman"/>
          <w:sz w:val="18"/>
          <w:szCs w:val="18"/>
        </w:rPr>
        <w:t>* Preliminary Data based on the quarterly estimates.</w:t>
      </w: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CA556D" w:rsidRDefault="006178F1" w:rsidP="00477F96">
      <w:pPr>
        <w:spacing w:after="0" w:line="240" w:lineRule="auto"/>
        <w:jc w:val="both"/>
        <w:rPr>
          <w:rFonts w:ascii="Times New Roman" w:hAnsi="Times New Roman" w:cs="Times New Roman"/>
          <w:b/>
          <w:bCs/>
          <w:sz w:val="24"/>
          <w:szCs w:val="24"/>
        </w:rPr>
      </w:pPr>
      <w:r w:rsidRPr="00CA556D">
        <w:rPr>
          <w:rFonts w:ascii="Times New Roman" w:hAnsi="Times New Roman" w:cs="Times New Roman"/>
          <w:b/>
          <w:bCs/>
          <w:sz w:val="24"/>
          <w:szCs w:val="24"/>
        </w:rPr>
        <w:t xml:space="preserve">2.2 </w:t>
      </w:r>
      <w:r w:rsidR="00CD4514" w:rsidRPr="00CA556D">
        <w:rPr>
          <w:rFonts w:ascii="Times New Roman" w:hAnsi="Times New Roman" w:cs="Times New Roman"/>
          <w:b/>
          <w:bCs/>
          <w:sz w:val="24"/>
          <w:szCs w:val="24"/>
        </w:rPr>
        <w:t>Total Public Revenues and Grants (Net)</w:t>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Total net public revenues value and grants decreased in 2018 by 4.2%, compared to 2017, reaching to USD 4,108.7 million</w:t>
      </w:r>
      <w:r w:rsidRPr="00477F96">
        <w:rPr>
          <w:rFonts w:ascii="Times New Roman" w:hAnsi="Times New Roman" w:cs="Times New Roman"/>
          <w:sz w:val="24"/>
          <w:szCs w:val="24"/>
        </w:rPr>
        <w:t>, due to a decline by 6.7% in Clearance revenues value, and a decrease in external financing (grants) value by 6.1%.  Although there was an increase in gross domestic revenues value by 10.2%.  Total net public revenues and grants value constituted 28.1% of GDP at current prices for the year 2018 compared to 29.6% in 2017 (See table 8).</w:t>
      </w:r>
    </w:p>
    <w:p w:rsidR="00CD4514" w:rsidRDefault="00CD4514" w:rsidP="00477F96">
      <w:pPr>
        <w:spacing w:after="0" w:line="240" w:lineRule="auto"/>
        <w:jc w:val="both"/>
        <w:rPr>
          <w:rFonts w:ascii="Times New Roman" w:hAnsi="Times New Roman" w:cs="Times New Roman"/>
          <w:sz w:val="24"/>
          <w:szCs w:val="24"/>
        </w:rPr>
      </w:pPr>
    </w:p>
    <w:p w:rsidR="00CA556D" w:rsidRPr="00477F96" w:rsidRDefault="00CA556D" w:rsidP="00477F96">
      <w:pPr>
        <w:spacing w:after="0" w:line="240" w:lineRule="auto"/>
        <w:jc w:val="both"/>
        <w:rPr>
          <w:rFonts w:ascii="Times New Roman" w:hAnsi="Times New Roman" w:cs="Times New Roman"/>
          <w:sz w:val="24"/>
          <w:szCs w:val="24"/>
        </w:rPr>
      </w:pPr>
    </w:p>
    <w:p w:rsidR="00CD4514" w:rsidRPr="006178F1" w:rsidRDefault="006178F1" w:rsidP="006178F1">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2.2.1 </w:t>
      </w:r>
      <w:r w:rsidR="00CD4514" w:rsidRPr="006178F1">
        <w:rPr>
          <w:rFonts w:ascii="Times New Roman" w:hAnsi="Times New Roman" w:cs="Times New Roman"/>
          <w:b/>
          <w:bCs/>
          <w:sz w:val="24"/>
          <w:szCs w:val="24"/>
        </w:rPr>
        <w:t>Gross Domestic Revenues</w:t>
      </w:r>
    </w:p>
    <w:p w:rsidR="00CD4514" w:rsidRPr="00477F96" w:rsidRDefault="00CD4514" w:rsidP="006178F1">
      <w:pPr>
        <w:spacing w:after="0" w:line="240" w:lineRule="auto"/>
        <w:jc w:val="both"/>
        <w:rPr>
          <w:rFonts w:ascii="Times New Roman" w:hAnsi="Times New Roman" w:cs="Times New Roman"/>
          <w:sz w:val="24"/>
          <w:szCs w:val="24"/>
          <w:rtl/>
        </w:rPr>
      </w:pPr>
      <w:r w:rsidRPr="00477F96">
        <w:rPr>
          <w:rFonts w:ascii="Times New Roman" w:hAnsi="Times New Roman" w:cs="Times New Roman"/>
          <w:b/>
          <w:bCs/>
          <w:sz w:val="24"/>
          <w:szCs w:val="24"/>
        </w:rPr>
        <w:t xml:space="preserve">Gross domestic revenues value constituted </w:t>
      </w:r>
      <w:r w:rsidRPr="00477F96">
        <w:rPr>
          <w:rFonts w:ascii="Times New Roman" w:hAnsi="Times New Roman" w:cs="Times New Roman"/>
          <w:b/>
          <w:bCs/>
          <w:sz w:val="24"/>
          <w:szCs w:val="24"/>
          <w:rtl/>
        </w:rPr>
        <w:t>39</w:t>
      </w:r>
      <w:r w:rsidRPr="00477F96">
        <w:rPr>
          <w:rFonts w:ascii="Times New Roman" w:hAnsi="Times New Roman" w:cs="Times New Roman"/>
          <w:b/>
          <w:bCs/>
          <w:sz w:val="24"/>
          <w:szCs w:val="24"/>
        </w:rPr>
        <w:t xml:space="preserve">.3% of the total net public revenues value, reaching USD </w:t>
      </w:r>
      <w:r w:rsidRPr="00477F96">
        <w:rPr>
          <w:rFonts w:ascii="Times New Roman" w:hAnsi="Times New Roman" w:cs="Times New Roman"/>
          <w:b/>
          <w:bCs/>
        </w:rPr>
        <w:t>1,349.3</w:t>
      </w:r>
      <w:r w:rsidRPr="00477F96">
        <w:rPr>
          <w:rFonts w:ascii="Times New Roman" w:hAnsi="Times New Roman" w:cs="Times New Roman"/>
          <w:b/>
          <w:bCs/>
          <w:sz w:val="24"/>
          <w:szCs w:val="24"/>
        </w:rPr>
        <w:t xml:space="preserve">million in 2018 with an increase by 10.2% compared with 2017, </w:t>
      </w:r>
      <w:r w:rsidRPr="00477F96">
        <w:rPr>
          <w:rFonts w:ascii="Times New Roman" w:hAnsi="Times New Roman" w:cs="Times New Roman"/>
          <w:sz w:val="24"/>
          <w:szCs w:val="24"/>
        </w:rPr>
        <w:t xml:space="preserve">as a result of noticeable rise in the value of non-tax revenues by 11.3%, reaching USD 432.8 million, where its contribution increased by 12.6% of the total net public revenues value in 2018, and tax revenues value increased by 10.2%, reaching USD 839.6 million, its contribution grew by 24.5% of the total net public revenues value in 2018,  the earmarked collections were USD 76.9 million, increasing its contribution by 2.2% of the total net public revenues value in 2018. </w:t>
      </w:r>
    </w:p>
    <w:p w:rsidR="00CD4514" w:rsidRPr="00477F96" w:rsidRDefault="00CD4514" w:rsidP="006178F1">
      <w:pPr>
        <w:spacing w:after="0" w:line="240" w:lineRule="auto"/>
        <w:jc w:val="both"/>
        <w:rPr>
          <w:rFonts w:ascii="Times New Roman" w:hAnsi="Times New Roman" w:cs="Times New Roman"/>
          <w:sz w:val="24"/>
          <w:szCs w:val="24"/>
          <w:rtl/>
        </w:rPr>
      </w:pPr>
    </w:p>
    <w:p w:rsidR="00CD4514" w:rsidRPr="006178F1" w:rsidRDefault="006178F1" w:rsidP="006178F1">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2.2.2 </w:t>
      </w:r>
      <w:r w:rsidR="00CD4514" w:rsidRPr="006178F1">
        <w:rPr>
          <w:rFonts w:ascii="Times New Roman" w:hAnsi="Times New Roman" w:cs="Times New Roman"/>
          <w:b/>
          <w:bCs/>
          <w:sz w:val="24"/>
          <w:szCs w:val="24"/>
        </w:rPr>
        <w:t>Clearance Revenues</w:t>
      </w:r>
    </w:p>
    <w:p w:rsidR="00CD4514" w:rsidRPr="00477F96" w:rsidRDefault="00CD4514" w:rsidP="00812EB3">
      <w:pPr>
        <w:spacing w:after="0" w:line="240" w:lineRule="auto"/>
        <w:jc w:val="both"/>
        <w:rPr>
          <w:rFonts w:ascii="Times New Roman" w:hAnsi="Times New Roman" w:cs="Times New Roman"/>
          <w:sz w:val="24"/>
          <w:szCs w:val="24"/>
        </w:rPr>
      </w:pPr>
      <w:r w:rsidRPr="00980DA3">
        <w:rPr>
          <w:rFonts w:ascii="Times New Roman" w:hAnsi="Times New Roman" w:cs="Times New Roman"/>
          <w:b/>
          <w:bCs/>
          <w:sz w:val="24"/>
          <w:szCs w:val="24"/>
        </w:rPr>
        <w:t xml:space="preserve">Clearance revenues value recorded a decline in these values by 6.7% compared with 2017, reaching USD 2,255.0 </w:t>
      </w:r>
      <w:proofErr w:type="gramStart"/>
      <w:r w:rsidRPr="00980DA3">
        <w:rPr>
          <w:rFonts w:ascii="Times New Roman" w:hAnsi="Times New Roman" w:cs="Times New Roman"/>
          <w:b/>
          <w:bCs/>
          <w:sz w:val="24"/>
          <w:szCs w:val="24"/>
        </w:rPr>
        <w:t>million,</w:t>
      </w:r>
      <w:proofErr w:type="gramEnd"/>
      <w:r w:rsidRPr="00980DA3">
        <w:rPr>
          <w:rFonts w:ascii="Times New Roman" w:hAnsi="Times New Roman" w:cs="Times New Roman"/>
          <w:b/>
          <w:bCs/>
          <w:sz w:val="24"/>
          <w:szCs w:val="24"/>
        </w:rPr>
        <w:t xml:space="preserve"> it constituted 65.7% of the total net public revenues value</w:t>
      </w:r>
      <w:r w:rsidRPr="00477F96">
        <w:rPr>
          <w:rFonts w:ascii="Times New Roman" w:hAnsi="Times New Roman" w:cs="Times New Roman"/>
          <w:sz w:val="24"/>
          <w:szCs w:val="24"/>
        </w:rPr>
        <w:t>.</w:t>
      </w:r>
      <w:r w:rsidR="00812EB3">
        <w:rPr>
          <w:rFonts w:ascii="Times New Roman" w:hAnsi="Times New Roman" w:cs="Times New Roman"/>
          <w:sz w:val="24"/>
          <w:szCs w:val="24"/>
        </w:rPr>
        <w:t xml:space="preserve">  </w:t>
      </w:r>
      <w:r w:rsidRPr="00477F96">
        <w:rPr>
          <w:rFonts w:ascii="Times New Roman" w:hAnsi="Times New Roman" w:cs="Times New Roman"/>
          <w:sz w:val="24"/>
          <w:szCs w:val="24"/>
        </w:rPr>
        <w:t xml:space="preserve">Clearance revenues value contributes in covering the current expenditures and net lending of 54.3% in 2018, in addition to contributing in GDP at current prices by 15.4%, highlighting the effect of Israeli control of a large proportion of the revenues of the Palestinian government. (See figure below). </w:t>
      </w: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6178F1" w:rsidRDefault="00CD4514" w:rsidP="00477F96">
      <w:pPr>
        <w:spacing w:after="0" w:line="240" w:lineRule="auto"/>
        <w:jc w:val="center"/>
        <w:rPr>
          <w:rFonts w:ascii="Arial" w:hAnsi="Arial" w:cs="Arial"/>
          <w:b/>
          <w:bCs/>
        </w:rPr>
      </w:pPr>
      <w:r w:rsidRPr="006178F1">
        <w:rPr>
          <w:rFonts w:ascii="Arial" w:hAnsi="Arial" w:cs="Arial"/>
          <w:b/>
          <w:bCs/>
        </w:rPr>
        <w:t>Distribution of public revenue</w:t>
      </w:r>
      <w:r w:rsidR="00EF105D">
        <w:rPr>
          <w:rFonts w:ascii="Arial" w:hAnsi="Arial" w:cs="Arial"/>
          <w:b/>
          <w:bCs/>
        </w:rPr>
        <w:t>s by source in Palestine, 2013-</w:t>
      </w:r>
      <w:r w:rsidRPr="006178F1">
        <w:rPr>
          <w:rFonts w:ascii="Arial" w:hAnsi="Arial" w:cs="Arial"/>
          <w:b/>
          <w:bCs/>
        </w:rPr>
        <w:t>2018</w:t>
      </w:r>
    </w:p>
    <w:tbl>
      <w:tblPr>
        <w:tblStyle w:val="TableGrid"/>
        <w:tblW w:w="0" w:type="auto"/>
        <w:tblInd w:w="108" w:type="dxa"/>
        <w:tblLayout w:type="fixed"/>
        <w:tblLook w:val="04A0"/>
      </w:tblPr>
      <w:tblGrid>
        <w:gridCol w:w="9072"/>
      </w:tblGrid>
      <w:tr w:rsidR="00CD4514" w:rsidRPr="00477F96" w:rsidTr="00641BE5">
        <w:tc>
          <w:tcPr>
            <w:tcW w:w="9072" w:type="dxa"/>
          </w:tcPr>
          <w:p w:rsidR="00CD4514" w:rsidRPr="00477F96" w:rsidRDefault="00CD4514" w:rsidP="00477F96">
            <w:pPr>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395788" cy="2894274"/>
                  <wp:effectExtent l="19050" t="0" r="0" b="0"/>
                  <wp:docPr id="28"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rsidR="00CD4514" w:rsidRPr="00812EB3" w:rsidRDefault="00CD4514" w:rsidP="00477F96">
      <w:pPr>
        <w:spacing w:after="0" w:line="240" w:lineRule="auto"/>
        <w:jc w:val="center"/>
        <w:rPr>
          <w:rFonts w:ascii="Times New Roman" w:hAnsi="Times New Roman" w:cs="Times New Roman"/>
          <w:b/>
          <w:bCs/>
          <w:sz w:val="24"/>
          <w:szCs w:val="24"/>
        </w:rPr>
      </w:pPr>
    </w:p>
    <w:p w:rsidR="00CD4514" w:rsidRPr="000007BA" w:rsidRDefault="000007BA" w:rsidP="00477F96">
      <w:pPr>
        <w:spacing w:after="0" w:line="240" w:lineRule="auto"/>
        <w:jc w:val="both"/>
        <w:rPr>
          <w:rFonts w:ascii="Times New Roman" w:hAnsi="Times New Roman" w:cs="Times New Roman"/>
          <w:b/>
          <w:bCs/>
          <w:sz w:val="24"/>
          <w:szCs w:val="24"/>
        </w:rPr>
      </w:pPr>
      <w:r w:rsidRPr="000007BA">
        <w:rPr>
          <w:rFonts w:ascii="Times New Roman" w:hAnsi="Times New Roman" w:cs="Times New Roman"/>
          <w:b/>
          <w:bCs/>
          <w:sz w:val="24"/>
          <w:szCs w:val="24"/>
        </w:rPr>
        <w:t xml:space="preserve">2.2.3 </w:t>
      </w:r>
      <w:r w:rsidR="00CD4514" w:rsidRPr="000007BA">
        <w:rPr>
          <w:rFonts w:ascii="Times New Roman" w:hAnsi="Times New Roman" w:cs="Times New Roman"/>
          <w:b/>
          <w:bCs/>
          <w:sz w:val="24"/>
          <w:szCs w:val="24"/>
        </w:rPr>
        <w:t>External Financing (Grants)</w:t>
      </w:r>
    </w:p>
    <w:p w:rsidR="00CD4514" w:rsidRPr="00477F96" w:rsidRDefault="00CD4514" w:rsidP="00812EB3">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Regarding grants,</w:t>
      </w:r>
      <w:r w:rsidRPr="00477F96">
        <w:rPr>
          <w:rFonts w:ascii="Times New Roman" w:hAnsi="Times New Roman" w:cs="Times New Roman"/>
          <w:b/>
          <w:bCs/>
          <w:sz w:val="24"/>
          <w:szCs w:val="24"/>
          <w:rtl/>
        </w:rPr>
        <w:t xml:space="preserve"> </w:t>
      </w:r>
      <w:r w:rsidRPr="00477F96">
        <w:rPr>
          <w:rFonts w:ascii="Times New Roman" w:hAnsi="Times New Roman" w:cs="Times New Roman"/>
          <w:b/>
          <w:bCs/>
          <w:sz w:val="24"/>
          <w:szCs w:val="24"/>
        </w:rPr>
        <w:t xml:space="preserve">the value declined by 6.1% in 2018, compared to 2017, reaching USD 675.5 million, </w:t>
      </w:r>
      <w:r w:rsidRPr="00477F96">
        <w:rPr>
          <w:rFonts w:ascii="Times New Roman" w:hAnsi="Times New Roman" w:cs="Times New Roman"/>
          <w:sz w:val="24"/>
          <w:szCs w:val="24"/>
        </w:rPr>
        <w:t>due to a decline in grants value to finance budgetary support by 5.3% reaching USD 515.6 million, which constitutes 76.3% of the total grants value in 2018.</w:t>
      </w:r>
      <w:r w:rsidR="00812EB3">
        <w:rPr>
          <w:rFonts w:ascii="Times New Roman" w:hAnsi="Times New Roman" w:cs="Times New Roman"/>
          <w:sz w:val="24"/>
          <w:szCs w:val="24"/>
        </w:rPr>
        <w:t xml:space="preserve">  </w:t>
      </w:r>
      <w:r w:rsidRPr="00477F96">
        <w:rPr>
          <w:rFonts w:ascii="Times New Roman" w:hAnsi="Times New Roman" w:cs="Times New Roman"/>
          <w:sz w:val="24"/>
          <w:szCs w:val="24"/>
        </w:rPr>
        <w:t>(See figure follow).</w:t>
      </w:r>
    </w:p>
    <w:p w:rsidR="00CD4514" w:rsidRPr="00477F96" w:rsidRDefault="00CD4514" w:rsidP="00477F96">
      <w:pPr>
        <w:spacing w:after="0" w:line="240" w:lineRule="auto"/>
        <w:jc w:val="center"/>
        <w:rPr>
          <w:rFonts w:ascii="Times New Roman" w:hAnsi="Times New Roman" w:cs="Times New Roman"/>
          <w:sz w:val="24"/>
          <w:szCs w:val="24"/>
        </w:rPr>
      </w:pPr>
    </w:p>
    <w:p w:rsidR="00CD4514" w:rsidRDefault="00CD4514" w:rsidP="00477F96">
      <w:pPr>
        <w:spacing w:after="0" w:line="240" w:lineRule="auto"/>
        <w:jc w:val="center"/>
        <w:rPr>
          <w:rFonts w:ascii="Times New Roman" w:hAnsi="Times New Roman" w:cs="Times New Roman"/>
          <w:sz w:val="24"/>
          <w:szCs w:val="24"/>
        </w:rPr>
      </w:pPr>
    </w:p>
    <w:p w:rsidR="000007BA" w:rsidRPr="00477F96" w:rsidRDefault="000007BA" w:rsidP="00477F96">
      <w:pPr>
        <w:spacing w:after="0" w:line="240" w:lineRule="auto"/>
        <w:jc w:val="center"/>
        <w:rPr>
          <w:rFonts w:ascii="Times New Roman" w:hAnsi="Times New Roman" w:cs="Times New Roman"/>
          <w:sz w:val="24"/>
          <w:szCs w:val="24"/>
        </w:rPr>
      </w:pPr>
    </w:p>
    <w:p w:rsidR="00CD4514" w:rsidRPr="00477F96" w:rsidRDefault="00CD4514" w:rsidP="00477F96">
      <w:pPr>
        <w:spacing w:after="0" w:line="240" w:lineRule="auto"/>
        <w:jc w:val="center"/>
        <w:rPr>
          <w:rFonts w:ascii="Times New Roman" w:hAnsi="Times New Roman" w:cs="Times New Roman"/>
          <w:sz w:val="24"/>
          <w:szCs w:val="24"/>
        </w:rPr>
      </w:pPr>
    </w:p>
    <w:p w:rsidR="00CD4514" w:rsidRPr="00477F96" w:rsidRDefault="00CD4514" w:rsidP="00477F96">
      <w:pPr>
        <w:spacing w:after="0" w:line="240" w:lineRule="auto"/>
        <w:jc w:val="center"/>
        <w:rPr>
          <w:rFonts w:ascii="Times New Roman" w:hAnsi="Times New Roman" w:cs="Times New Roman"/>
          <w:sz w:val="24"/>
          <w:szCs w:val="24"/>
        </w:rPr>
      </w:pPr>
    </w:p>
    <w:p w:rsidR="00CD4514" w:rsidRPr="00477F96" w:rsidRDefault="00CD4514" w:rsidP="00477F96">
      <w:pPr>
        <w:spacing w:after="0" w:line="240" w:lineRule="auto"/>
        <w:jc w:val="center"/>
        <w:rPr>
          <w:rFonts w:ascii="Times New Roman" w:hAnsi="Times New Roman" w:cs="Times New Roman"/>
          <w:sz w:val="24"/>
          <w:szCs w:val="24"/>
        </w:rPr>
      </w:pPr>
    </w:p>
    <w:p w:rsidR="00CD4514" w:rsidRPr="00477F96" w:rsidRDefault="00CD4514" w:rsidP="00477F96">
      <w:pPr>
        <w:spacing w:after="0" w:line="240" w:lineRule="auto"/>
        <w:jc w:val="center"/>
        <w:rPr>
          <w:rFonts w:ascii="Times New Roman" w:hAnsi="Times New Roman" w:cs="Times New Roman"/>
          <w:sz w:val="24"/>
          <w:szCs w:val="24"/>
        </w:rPr>
      </w:pPr>
    </w:p>
    <w:p w:rsidR="00CD4514" w:rsidRPr="00477F96" w:rsidRDefault="00CD4514" w:rsidP="00477F96">
      <w:pPr>
        <w:spacing w:after="0" w:line="240" w:lineRule="auto"/>
        <w:jc w:val="center"/>
        <w:rPr>
          <w:rFonts w:ascii="Times New Roman" w:hAnsi="Times New Roman" w:cs="Times New Roman"/>
          <w:sz w:val="24"/>
          <w:szCs w:val="24"/>
        </w:rPr>
      </w:pPr>
    </w:p>
    <w:p w:rsidR="00CD4514" w:rsidRPr="00477F96" w:rsidRDefault="00CD4514" w:rsidP="00477F96">
      <w:pPr>
        <w:spacing w:after="0" w:line="240" w:lineRule="auto"/>
        <w:jc w:val="center"/>
        <w:rPr>
          <w:rFonts w:ascii="Times New Roman" w:hAnsi="Times New Roman" w:cs="Times New Roman"/>
          <w:sz w:val="24"/>
          <w:szCs w:val="24"/>
        </w:rPr>
      </w:pPr>
    </w:p>
    <w:p w:rsidR="00CD4514" w:rsidRPr="000007BA" w:rsidRDefault="00CD4514" w:rsidP="00477F96">
      <w:pPr>
        <w:spacing w:after="0" w:line="240" w:lineRule="auto"/>
        <w:jc w:val="center"/>
        <w:rPr>
          <w:rFonts w:ascii="Arial" w:hAnsi="Arial" w:cs="Arial"/>
          <w:b/>
          <w:bCs/>
        </w:rPr>
      </w:pPr>
      <w:r w:rsidRPr="000007BA">
        <w:rPr>
          <w:rFonts w:ascii="Arial" w:hAnsi="Arial" w:cs="Arial"/>
          <w:b/>
          <w:bCs/>
        </w:rPr>
        <w:lastRenderedPageBreak/>
        <w:t>External financi</w:t>
      </w:r>
      <w:r w:rsidR="00EF105D">
        <w:rPr>
          <w:rFonts w:ascii="Arial" w:hAnsi="Arial" w:cs="Arial"/>
          <w:b/>
          <w:bCs/>
        </w:rPr>
        <w:t>ng (grants) in Palestine, 2013-</w:t>
      </w:r>
      <w:r w:rsidRPr="000007BA">
        <w:rPr>
          <w:rFonts w:ascii="Arial" w:hAnsi="Arial" w:cs="Arial"/>
          <w:b/>
          <w:bCs/>
        </w:rPr>
        <w:t>2018</w:t>
      </w:r>
    </w:p>
    <w:tbl>
      <w:tblPr>
        <w:tblStyle w:val="TableGrid"/>
        <w:tblW w:w="0" w:type="auto"/>
        <w:jc w:val="center"/>
        <w:tblLayout w:type="fixed"/>
        <w:tblLook w:val="04A0"/>
      </w:tblPr>
      <w:tblGrid>
        <w:gridCol w:w="8505"/>
      </w:tblGrid>
      <w:tr w:rsidR="00CD4514" w:rsidRPr="00477F96" w:rsidTr="00812EB3">
        <w:trPr>
          <w:jc w:val="center"/>
        </w:trPr>
        <w:tc>
          <w:tcPr>
            <w:tcW w:w="8505" w:type="dxa"/>
          </w:tcPr>
          <w:p w:rsidR="00CD4514" w:rsidRPr="00477F96" w:rsidRDefault="00CD4514" w:rsidP="00477F96">
            <w:pPr>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276519" cy="2584174"/>
                  <wp:effectExtent l="19050" t="0" r="331" b="0"/>
                  <wp:docPr id="29"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bl>
    <w:p w:rsidR="00CD4514" w:rsidRPr="00812EB3" w:rsidRDefault="00CD4514" w:rsidP="00477F96">
      <w:pPr>
        <w:spacing w:after="0" w:line="240" w:lineRule="auto"/>
        <w:jc w:val="center"/>
        <w:rPr>
          <w:rFonts w:ascii="Times New Roman" w:hAnsi="Times New Roman" w:cs="Times New Roman"/>
          <w:b/>
          <w:bCs/>
          <w:sz w:val="28"/>
          <w:szCs w:val="28"/>
        </w:rPr>
      </w:pPr>
    </w:p>
    <w:p w:rsidR="00CD4514" w:rsidRPr="00CA556D" w:rsidRDefault="000007BA" w:rsidP="00477F96">
      <w:pPr>
        <w:spacing w:after="0" w:line="240" w:lineRule="auto"/>
        <w:rPr>
          <w:rFonts w:ascii="Times New Roman" w:hAnsi="Times New Roman" w:cs="Times New Roman"/>
          <w:b/>
          <w:bCs/>
          <w:sz w:val="24"/>
          <w:szCs w:val="24"/>
        </w:rPr>
      </w:pPr>
      <w:r w:rsidRPr="00CA556D">
        <w:rPr>
          <w:rFonts w:ascii="Times New Roman" w:hAnsi="Times New Roman" w:cs="Times New Roman"/>
          <w:b/>
          <w:bCs/>
          <w:sz w:val="24"/>
          <w:szCs w:val="24"/>
        </w:rPr>
        <w:t xml:space="preserve">2.3 </w:t>
      </w:r>
      <w:r w:rsidR="00CD4514" w:rsidRPr="00CA556D">
        <w:rPr>
          <w:rFonts w:ascii="Times New Roman" w:hAnsi="Times New Roman" w:cs="Times New Roman"/>
          <w:b/>
          <w:bCs/>
          <w:sz w:val="24"/>
          <w:szCs w:val="24"/>
        </w:rPr>
        <w:t>Total Public Expenditures</w:t>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Total public expenditures value</w:t>
      </w:r>
      <w:r w:rsidRPr="00477F96">
        <w:rPr>
          <w:rFonts w:ascii="Times New Roman" w:hAnsi="Times New Roman" w:cs="Times New Roman"/>
          <w:b/>
          <w:bCs/>
          <w:sz w:val="24"/>
          <w:szCs w:val="24"/>
          <w:rtl/>
        </w:rPr>
        <w:t xml:space="preserve"> </w:t>
      </w:r>
      <w:r w:rsidRPr="00477F96">
        <w:rPr>
          <w:rFonts w:ascii="Times New Roman" w:hAnsi="Times New Roman" w:cs="Times New Roman"/>
          <w:b/>
          <w:bCs/>
          <w:sz w:val="24"/>
          <w:szCs w:val="24"/>
        </w:rPr>
        <w:t>decreased in 2018 by 5.8%, compared to 2017, reaching USD 4,517.4 million</w:t>
      </w:r>
      <w:r w:rsidRPr="00477F96">
        <w:rPr>
          <w:rFonts w:ascii="Times New Roman" w:hAnsi="Times New Roman" w:cs="Times New Roman"/>
          <w:sz w:val="24"/>
          <w:szCs w:val="24"/>
        </w:rPr>
        <w:t>, as a result of the decrease in current expenditures and net lending value by 6.2%, and development expenditures value by 0.7%, during 2018 compared with 2017.  (See table 8).</w:t>
      </w:r>
    </w:p>
    <w:p w:rsidR="00CD4514" w:rsidRPr="00CA556D" w:rsidRDefault="00CD4514" w:rsidP="00477F96">
      <w:pPr>
        <w:pStyle w:val="Heading7"/>
        <w:spacing w:before="0" w:line="240" w:lineRule="auto"/>
        <w:rPr>
          <w:rFonts w:ascii="Times New Roman" w:eastAsiaTheme="minorEastAsia" w:hAnsi="Times New Roman" w:cs="Times New Roman"/>
          <w:b/>
          <w:bCs/>
          <w:i w:val="0"/>
          <w:iCs w:val="0"/>
          <w:color w:val="auto"/>
          <w:sz w:val="24"/>
          <w:szCs w:val="24"/>
        </w:rPr>
      </w:pPr>
    </w:p>
    <w:p w:rsidR="00CD4514" w:rsidRPr="000007BA" w:rsidRDefault="000007BA" w:rsidP="00477F96">
      <w:pPr>
        <w:pStyle w:val="Heading7"/>
        <w:spacing w:before="0" w:line="240" w:lineRule="auto"/>
        <w:rPr>
          <w:rFonts w:ascii="Times New Roman" w:eastAsiaTheme="minorEastAsia" w:hAnsi="Times New Roman" w:cs="Times New Roman"/>
          <w:b/>
          <w:bCs/>
          <w:i w:val="0"/>
          <w:iCs w:val="0"/>
          <w:color w:val="auto"/>
          <w:sz w:val="24"/>
          <w:szCs w:val="24"/>
        </w:rPr>
      </w:pPr>
      <w:r w:rsidRPr="000007BA">
        <w:rPr>
          <w:rFonts w:ascii="Times New Roman" w:eastAsiaTheme="minorEastAsia" w:hAnsi="Times New Roman" w:cs="Times New Roman"/>
          <w:b/>
          <w:bCs/>
          <w:i w:val="0"/>
          <w:iCs w:val="0"/>
          <w:color w:val="auto"/>
          <w:sz w:val="24"/>
          <w:szCs w:val="24"/>
        </w:rPr>
        <w:t xml:space="preserve">2.3.1 </w:t>
      </w:r>
      <w:r w:rsidR="00CD4514" w:rsidRPr="000007BA">
        <w:rPr>
          <w:rFonts w:ascii="Times New Roman" w:eastAsiaTheme="minorEastAsia" w:hAnsi="Times New Roman" w:cs="Times New Roman"/>
          <w:b/>
          <w:bCs/>
          <w:i w:val="0"/>
          <w:iCs w:val="0"/>
          <w:color w:val="auto"/>
          <w:sz w:val="24"/>
          <w:szCs w:val="24"/>
        </w:rPr>
        <w:t>Current Expenditures and Net Lending</w:t>
      </w:r>
    </w:p>
    <w:p w:rsidR="00CD4514" w:rsidRPr="00477F96" w:rsidRDefault="00CD4514" w:rsidP="00B868A9">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As for current expenditures and net lending, the value recorded a decrease by 6.2% in 2018, compared with 2017,</w:t>
      </w:r>
      <w:r w:rsidRPr="00477F96">
        <w:rPr>
          <w:rFonts w:ascii="Times New Roman" w:hAnsi="Times New Roman" w:cs="Times New Roman"/>
          <w:sz w:val="24"/>
          <w:szCs w:val="24"/>
        </w:rPr>
        <w:t xml:space="preserve"> reaching USD 4,153.8 million, as a result of decreasing the wages and salaries value by 14.9%, which reached USD 1,799.3 million, constituting 43.3% of the current expenditures and net lending value.  On the other hand, non-wages expenditures value increased by 1.5%, reaching USD 2,006.6 million contributing by 48.3% of current expenditures and net lending value in 2018, also the value of net lending grew by 2.0%, reaching USD 271.0 million in 2018, and earmarked payments increased in the value by 4.9%, reaching USD 76.9 million in 2018. (See </w:t>
      </w:r>
      <w:r w:rsidR="00264792">
        <w:rPr>
          <w:rFonts w:ascii="Times New Roman" w:hAnsi="Times New Roman" w:cs="Times New Roman"/>
          <w:sz w:val="24"/>
          <w:szCs w:val="24"/>
        </w:rPr>
        <w:t>figure</w:t>
      </w:r>
      <w:r w:rsidRPr="00477F96">
        <w:rPr>
          <w:rFonts w:ascii="Times New Roman" w:hAnsi="Times New Roman" w:cs="Times New Roman"/>
          <w:sz w:val="24"/>
          <w:szCs w:val="24"/>
        </w:rPr>
        <w:t xml:space="preserve"> </w:t>
      </w:r>
      <w:r w:rsidR="00B868A9">
        <w:rPr>
          <w:rFonts w:ascii="Times New Roman" w:hAnsi="Times New Roman" w:cs="Times New Roman"/>
          <w:sz w:val="24"/>
          <w:szCs w:val="24"/>
        </w:rPr>
        <w:t>below</w:t>
      </w:r>
      <w:r w:rsidRPr="00477F96">
        <w:rPr>
          <w:rFonts w:ascii="Times New Roman" w:hAnsi="Times New Roman" w:cs="Times New Roman"/>
          <w:sz w:val="24"/>
          <w:szCs w:val="24"/>
        </w:rPr>
        <w:t xml:space="preserve">). </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0007BA" w:rsidRDefault="00CD4514" w:rsidP="00477F96">
      <w:pPr>
        <w:pStyle w:val="Heading7"/>
        <w:spacing w:before="0" w:line="240" w:lineRule="auto"/>
        <w:jc w:val="center"/>
        <w:rPr>
          <w:rFonts w:ascii="Arial" w:hAnsi="Arial" w:cs="Arial"/>
          <w:b/>
          <w:bCs/>
          <w:i w:val="0"/>
          <w:iCs w:val="0"/>
          <w:color w:val="auto"/>
        </w:rPr>
      </w:pPr>
      <w:r w:rsidRPr="000007BA">
        <w:rPr>
          <w:rFonts w:ascii="Arial" w:hAnsi="Arial" w:cs="Arial"/>
          <w:b/>
          <w:bCs/>
          <w:i w:val="0"/>
          <w:iCs w:val="0"/>
          <w:color w:val="auto"/>
        </w:rPr>
        <w:t>Structure of current expenditures</w:t>
      </w:r>
      <w:r w:rsidRPr="000007BA">
        <w:rPr>
          <w:rFonts w:ascii="Arial" w:eastAsia="SimSun" w:hAnsi="Arial" w:cs="Arial"/>
          <w:b/>
          <w:bCs/>
          <w:i w:val="0"/>
          <w:iCs w:val="0"/>
          <w:color w:val="auto"/>
        </w:rPr>
        <w:t xml:space="preserve"> </w:t>
      </w:r>
      <w:r w:rsidRPr="000007BA">
        <w:rPr>
          <w:rFonts w:ascii="Arial" w:hAnsi="Arial" w:cs="Arial"/>
          <w:b/>
          <w:bCs/>
          <w:i w:val="0"/>
          <w:iCs w:val="0"/>
          <w:color w:val="auto"/>
        </w:rPr>
        <w:t>and net lending in Palestine, 2018</w:t>
      </w:r>
    </w:p>
    <w:tbl>
      <w:tblPr>
        <w:tblStyle w:val="TableGrid"/>
        <w:tblW w:w="0" w:type="auto"/>
        <w:jc w:val="center"/>
        <w:tblInd w:w="-228" w:type="dxa"/>
        <w:tblLayout w:type="fixed"/>
        <w:tblLook w:val="04A0"/>
      </w:tblPr>
      <w:tblGrid>
        <w:gridCol w:w="9125"/>
      </w:tblGrid>
      <w:tr w:rsidR="00CD4514" w:rsidRPr="00477F96" w:rsidTr="009F0F85">
        <w:trPr>
          <w:jc w:val="center"/>
        </w:trPr>
        <w:tc>
          <w:tcPr>
            <w:tcW w:w="9125" w:type="dxa"/>
          </w:tcPr>
          <w:p w:rsidR="00CD4514" w:rsidRPr="00477F96" w:rsidRDefault="00CD4514" w:rsidP="00477F96">
            <w:pPr>
              <w:rPr>
                <w:rFonts w:ascii="Times New Roman" w:hAnsi="Times New Roman" w:cs="Times New Roman"/>
              </w:rPr>
            </w:pPr>
            <w:r w:rsidRPr="00477F96">
              <w:rPr>
                <w:rFonts w:ascii="Times New Roman" w:hAnsi="Times New Roman" w:cs="Times New Roman"/>
                <w:noProof/>
              </w:rPr>
              <w:drawing>
                <wp:inline distT="0" distB="0" distL="0" distR="0">
                  <wp:extent cx="5197006" cy="2401294"/>
                  <wp:effectExtent l="19050" t="0" r="3644" b="0"/>
                  <wp:docPr id="30"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bl>
    <w:p w:rsidR="00CD4514" w:rsidRDefault="00CD4514" w:rsidP="00477F96">
      <w:pPr>
        <w:spacing w:after="0" w:line="240" w:lineRule="auto"/>
        <w:jc w:val="center"/>
        <w:rPr>
          <w:rFonts w:ascii="Times New Roman" w:hAnsi="Times New Roman" w:cs="Times New Roman"/>
          <w:b/>
          <w:bCs/>
        </w:rPr>
      </w:pPr>
    </w:p>
    <w:p w:rsidR="00812EB3" w:rsidRDefault="00812EB3" w:rsidP="00477F96">
      <w:pPr>
        <w:spacing w:after="0" w:line="240" w:lineRule="auto"/>
        <w:jc w:val="center"/>
        <w:rPr>
          <w:rFonts w:ascii="Times New Roman" w:hAnsi="Times New Roman" w:cs="Times New Roman"/>
          <w:b/>
          <w:bCs/>
        </w:rPr>
      </w:pPr>
    </w:p>
    <w:p w:rsidR="00812EB3" w:rsidRPr="00477F96" w:rsidRDefault="00812EB3" w:rsidP="00477F96">
      <w:pPr>
        <w:spacing w:after="0" w:line="240" w:lineRule="auto"/>
        <w:jc w:val="center"/>
        <w:rPr>
          <w:rFonts w:ascii="Times New Roman" w:hAnsi="Times New Roman" w:cs="Times New Roman"/>
          <w:b/>
          <w:bCs/>
        </w:rPr>
      </w:pPr>
    </w:p>
    <w:p w:rsidR="00CD4514" w:rsidRPr="000007BA" w:rsidRDefault="000007BA" w:rsidP="00477F96">
      <w:pPr>
        <w:spacing w:after="0" w:line="240" w:lineRule="auto"/>
        <w:rPr>
          <w:rFonts w:ascii="Times New Roman" w:hAnsi="Times New Roman" w:cs="Times New Roman"/>
          <w:b/>
          <w:bCs/>
          <w:sz w:val="24"/>
          <w:szCs w:val="24"/>
          <w:lang w:val="en-US"/>
        </w:rPr>
      </w:pPr>
      <w:r w:rsidRPr="000007BA">
        <w:rPr>
          <w:rFonts w:ascii="Times New Roman" w:hAnsi="Times New Roman" w:cs="Times New Roman"/>
          <w:b/>
          <w:bCs/>
          <w:sz w:val="24"/>
          <w:szCs w:val="24"/>
        </w:rPr>
        <w:lastRenderedPageBreak/>
        <w:t xml:space="preserve">2.3.2 </w:t>
      </w:r>
      <w:r w:rsidR="00CD4514" w:rsidRPr="000007BA">
        <w:rPr>
          <w:rFonts w:ascii="Times New Roman" w:hAnsi="Times New Roman" w:cs="Times New Roman"/>
          <w:b/>
          <w:bCs/>
          <w:sz w:val="24"/>
          <w:szCs w:val="24"/>
        </w:rPr>
        <w:t>Development Expenditures</w:t>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 xml:space="preserve">Development expenditures, those values recorded a decrease in 2018 by 0.7%, compared to 2017, reaching USD 363.6 million, </w:t>
      </w:r>
      <w:r w:rsidRPr="00477F96">
        <w:rPr>
          <w:rFonts w:ascii="Times New Roman" w:hAnsi="Times New Roman" w:cs="Times New Roman"/>
          <w:sz w:val="24"/>
          <w:szCs w:val="24"/>
        </w:rPr>
        <w:t>due to a decline in the value of development expenditures financed from grants by 8.6%, reaching USD 159.9 million compared to USD 175.0 million during 2017 constituting 44.0% of total development expenditures value in 2018. (See figure below).</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B03656" w:rsidRDefault="00CD4514" w:rsidP="00477F96">
      <w:pPr>
        <w:spacing w:after="0" w:line="240" w:lineRule="auto"/>
        <w:jc w:val="center"/>
        <w:rPr>
          <w:rFonts w:ascii="Arial" w:hAnsi="Arial" w:cs="Arial"/>
          <w:b/>
          <w:bCs/>
        </w:rPr>
      </w:pPr>
      <w:r w:rsidRPr="00B03656">
        <w:rPr>
          <w:rFonts w:ascii="Arial" w:hAnsi="Arial" w:cs="Arial"/>
          <w:b/>
          <w:bCs/>
        </w:rPr>
        <w:t xml:space="preserve">Development expenditures in Palestine, </w:t>
      </w:r>
      <w:r w:rsidR="00EF105D">
        <w:rPr>
          <w:rFonts w:ascii="Arial" w:hAnsi="Arial" w:cs="Arial"/>
          <w:b/>
          <w:bCs/>
        </w:rPr>
        <w:t>2013-</w:t>
      </w:r>
      <w:r w:rsidRPr="00B03656">
        <w:rPr>
          <w:rFonts w:ascii="Arial" w:hAnsi="Arial" w:cs="Arial"/>
          <w:b/>
          <w:bCs/>
        </w:rPr>
        <w:t>2018</w:t>
      </w:r>
    </w:p>
    <w:tbl>
      <w:tblPr>
        <w:tblStyle w:val="TableGrid"/>
        <w:tblW w:w="0" w:type="auto"/>
        <w:jc w:val="center"/>
        <w:tblLayout w:type="fixed"/>
        <w:tblLook w:val="04A0"/>
      </w:tblPr>
      <w:tblGrid>
        <w:gridCol w:w="9002"/>
      </w:tblGrid>
      <w:tr w:rsidR="00CD4514" w:rsidRPr="00477F96" w:rsidTr="009F0F85">
        <w:trPr>
          <w:jc w:val="center"/>
        </w:trPr>
        <w:tc>
          <w:tcPr>
            <w:tcW w:w="9002" w:type="dxa"/>
          </w:tcPr>
          <w:p w:rsidR="00CD4514" w:rsidRPr="00477F96" w:rsidRDefault="00CD4514" w:rsidP="00477F96">
            <w:pPr>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380217" cy="2568271"/>
                  <wp:effectExtent l="19050" t="0" r="0" b="0"/>
                  <wp:docPr id="31"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bl>
    <w:p w:rsidR="00CD4514" w:rsidRPr="00114BB8" w:rsidRDefault="00CD4514" w:rsidP="00477F96">
      <w:pPr>
        <w:spacing w:after="0" w:line="240" w:lineRule="auto"/>
        <w:jc w:val="center"/>
        <w:rPr>
          <w:rFonts w:ascii="Times New Roman" w:hAnsi="Times New Roman" w:cs="Times New Roman"/>
          <w:b/>
          <w:bCs/>
          <w:sz w:val="28"/>
          <w:szCs w:val="28"/>
        </w:rPr>
      </w:pPr>
    </w:p>
    <w:p w:rsidR="00CD4514" w:rsidRPr="00E7271F" w:rsidRDefault="00EE45BF" w:rsidP="00477F96">
      <w:pPr>
        <w:spacing w:after="0" w:line="240" w:lineRule="auto"/>
        <w:rPr>
          <w:rFonts w:ascii="Times New Roman" w:hAnsi="Times New Roman" w:cs="Times New Roman"/>
          <w:b/>
          <w:bCs/>
          <w:sz w:val="24"/>
          <w:szCs w:val="24"/>
        </w:rPr>
      </w:pPr>
      <w:r w:rsidRPr="00E7271F">
        <w:rPr>
          <w:rFonts w:ascii="Times New Roman" w:hAnsi="Times New Roman" w:cs="Times New Roman"/>
          <w:b/>
          <w:bCs/>
          <w:sz w:val="24"/>
          <w:szCs w:val="24"/>
        </w:rPr>
        <w:t xml:space="preserve">2.4 </w:t>
      </w:r>
      <w:r w:rsidR="00CD4514" w:rsidRPr="00E7271F">
        <w:rPr>
          <w:rFonts w:ascii="Times New Roman" w:hAnsi="Times New Roman" w:cs="Times New Roman"/>
          <w:b/>
          <w:bCs/>
          <w:sz w:val="24"/>
          <w:szCs w:val="24"/>
        </w:rPr>
        <w:t>Total Public Debt</w:t>
      </w:r>
    </w:p>
    <w:p w:rsidR="00CD4514" w:rsidRPr="00477F96" w:rsidRDefault="00CD4514" w:rsidP="00264792">
      <w:pPr>
        <w:spacing w:after="0" w:line="240" w:lineRule="auto"/>
        <w:jc w:val="both"/>
        <w:rPr>
          <w:rFonts w:ascii="Times New Roman" w:hAnsi="Times New Roman" w:cs="Times New Roman"/>
          <w:sz w:val="24"/>
          <w:szCs w:val="24"/>
        </w:rPr>
      </w:pPr>
      <w:r w:rsidRPr="00477F96">
        <w:rPr>
          <w:rFonts w:ascii="Times New Roman" w:hAnsi="Times New Roman" w:cs="Times New Roman"/>
          <w:sz w:val="24"/>
          <w:szCs w:val="24"/>
        </w:rPr>
        <w:t xml:space="preserve">The public debt is divided into two parts, the domestic and external public </w:t>
      </w:r>
      <w:proofErr w:type="gramStart"/>
      <w:r w:rsidRPr="00477F96">
        <w:rPr>
          <w:rFonts w:ascii="Times New Roman" w:hAnsi="Times New Roman" w:cs="Times New Roman"/>
          <w:sz w:val="24"/>
          <w:szCs w:val="24"/>
        </w:rPr>
        <w:t>debt,</w:t>
      </w:r>
      <w:proofErr w:type="gramEnd"/>
      <w:r w:rsidRPr="00477F96">
        <w:rPr>
          <w:rFonts w:ascii="Times New Roman" w:hAnsi="Times New Roman" w:cs="Times New Roman"/>
          <w:sz w:val="24"/>
          <w:szCs w:val="24"/>
        </w:rPr>
        <w:t xml:space="preserve"> Table </w:t>
      </w:r>
      <w:r w:rsidR="00264792">
        <w:rPr>
          <w:rFonts w:ascii="Times New Roman" w:hAnsi="Times New Roman" w:cs="Times New Roman"/>
          <w:sz w:val="24"/>
          <w:szCs w:val="24"/>
        </w:rPr>
        <w:t>below</w:t>
      </w:r>
      <w:r w:rsidRPr="00477F96">
        <w:rPr>
          <w:rFonts w:ascii="Times New Roman" w:hAnsi="Times New Roman" w:cs="Times New Roman"/>
          <w:sz w:val="24"/>
          <w:szCs w:val="24"/>
        </w:rPr>
        <w:t xml:space="preserve"> highlights the direction of public debt of Palestine during the period 2013-2018.</w:t>
      </w:r>
    </w:p>
    <w:p w:rsidR="00CD4514" w:rsidRPr="00114BB8" w:rsidRDefault="00CD4514" w:rsidP="00477F96">
      <w:pPr>
        <w:spacing w:after="0" w:line="240" w:lineRule="auto"/>
        <w:jc w:val="center"/>
        <w:rPr>
          <w:rFonts w:ascii="Times New Roman" w:hAnsi="Times New Roman" w:cs="Times New Roman"/>
          <w:b/>
          <w:bCs/>
          <w:sz w:val="24"/>
          <w:szCs w:val="24"/>
        </w:rPr>
      </w:pPr>
    </w:p>
    <w:p w:rsidR="00CD4514" w:rsidRPr="00EE45BF" w:rsidRDefault="00CD4514" w:rsidP="00477F96">
      <w:pPr>
        <w:spacing w:after="0" w:line="240" w:lineRule="auto"/>
        <w:jc w:val="center"/>
        <w:rPr>
          <w:rFonts w:ascii="Arial" w:hAnsi="Arial" w:cs="Arial"/>
          <w:b/>
          <w:bCs/>
        </w:rPr>
      </w:pPr>
      <w:r w:rsidRPr="00EE45BF">
        <w:rPr>
          <w:rFonts w:ascii="Arial" w:hAnsi="Arial" w:cs="Arial"/>
          <w:b/>
          <w:bCs/>
        </w:rPr>
        <w:t>Table 9: Total public debt of Palestine</w:t>
      </w:r>
      <w:r w:rsidR="00EF105D">
        <w:rPr>
          <w:rFonts w:ascii="Arial" w:hAnsi="Arial" w:cs="Arial"/>
          <w:b/>
          <w:bCs/>
        </w:rPr>
        <w:t xml:space="preserve"> at the end of the years, 2013-</w:t>
      </w:r>
      <w:r w:rsidRPr="00EE45BF">
        <w:rPr>
          <w:rFonts w:ascii="Arial" w:hAnsi="Arial" w:cs="Arial"/>
          <w:b/>
          <w:bCs/>
        </w:rPr>
        <w:t>2018</w:t>
      </w:r>
    </w:p>
    <w:p w:rsidR="00CD4514" w:rsidRPr="00477F96" w:rsidRDefault="00CD4514" w:rsidP="00477F96">
      <w:pPr>
        <w:spacing w:after="0" w:line="240" w:lineRule="auto"/>
        <w:jc w:val="center"/>
        <w:rPr>
          <w:rFonts w:ascii="Times New Roman" w:hAnsi="Times New Roman" w:cs="Times New Roman"/>
          <w:b/>
          <w:bCs/>
          <w:sz w:val="10"/>
          <w:szCs w:val="10"/>
        </w:rPr>
      </w:pPr>
    </w:p>
    <w:p w:rsidR="00CD4514" w:rsidRPr="00114BB8" w:rsidRDefault="00CD4514" w:rsidP="00477F96">
      <w:pPr>
        <w:tabs>
          <w:tab w:val="left" w:pos="2962"/>
        </w:tabs>
        <w:spacing w:after="0" w:line="240" w:lineRule="auto"/>
        <w:jc w:val="both"/>
        <w:rPr>
          <w:rFonts w:ascii="Arial" w:hAnsi="Arial" w:cs="Arial"/>
          <w:sz w:val="18"/>
          <w:szCs w:val="18"/>
        </w:rPr>
      </w:pPr>
      <w:r w:rsidRPr="00114BB8">
        <w:rPr>
          <w:rFonts w:ascii="Arial" w:hAnsi="Arial" w:cs="Arial"/>
          <w:sz w:val="18"/>
          <w:szCs w:val="18"/>
        </w:rPr>
        <w:t>Value in USD million</w:t>
      </w:r>
      <w:r w:rsidRPr="00114BB8">
        <w:rPr>
          <w:rFonts w:ascii="Arial" w:hAnsi="Arial" w:cs="Arial"/>
          <w:sz w:val="18"/>
          <w:szCs w:val="18"/>
        </w:rPr>
        <w:tab/>
      </w:r>
    </w:p>
    <w:tbl>
      <w:tblPr>
        <w:tblStyle w:val="TableGrid"/>
        <w:tblW w:w="9072" w:type="dxa"/>
        <w:jc w:val="center"/>
        <w:tblLayout w:type="fixed"/>
        <w:tblLook w:val="04A0"/>
      </w:tblPr>
      <w:tblGrid>
        <w:gridCol w:w="3885"/>
        <w:gridCol w:w="820"/>
        <w:gridCol w:w="819"/>
        <w:gridCol w:w="820"/>
        <w:gridCol w:w="819"/>
        <w:gridCol w:w="955"/>
        <w:gridCol w:w="954"/>
      </w:tblGrid>
      <w:tr w:rsidR="00CD4514" w:rsidRPr="00114BB8" w:rsidTr="00EE45BF">
        <w:trPr>
          <w:trHeight w:val="340"/>
          <w:jc w:val="center"/>
        </w:trPr>
        <w:tc>
          <w:tcPr>
            <w:tcW w:w="4077" w:type="dxa"/>
            <w:tcBorders>
              <w:top w:val="single" w:sz="12" w:space="0" w:color="auto"/>
              <w:left w:val="nil"/>
              <w:bottom w:val="single" w:sz="12" w:space="0" w:color="auto"/>
              <w:right w:val="nil"/>
            </w:tcBorders>
            <w:vAlign w:val="center"/>
          </w:tcPr>
          <w:p w:rsidR="00CD4514" w:rsidRPr="00114BB8" w:rsidRDefault="00CD4514" w:rsidP="00477F96">
            <w:pPr>
              <w:pStyle w:val="Footer"/>
              <w:tabs>
                <w:tab w:val="clear" w:pos="4153"/>
                <w:tab w:val="clear" w:pos="8306"/>
              </w:tabs>
              <w:rPr>
                <w:rFonts w:ascii="Arial" w:hAnsi="Arial" w:cs="Arial"/>
                <w:b/>
                <w:bCs/>
                <w:sz w:val="18"/>
                <w:szCs w:val="18"/>
              </w:rPr>
            </w:pPr>
            <w:r w:rsidRPr="00114BB8">
              <w:rPr>
                <w:rFonts w:ascii="Arial" w:hAnsi="Arial" w:cs="Arial"/>
                <w:b/>
                <w:bCs/>
                <w:sz w:val="18"/>
                <w:szCs w:val="18"/>
              </w:rPr>
              <w:t>Indicator</w:t>
            </w:r>
          </w:p>
        </w:tc>
        <w:tc>
          <w:tcPr>
            <w:tcW w:w="851" w:type="dxa"/>
            <w:tcBorders>
              <w:top w:val="single" w:sz="12" w:space="0" w:color="auto"/>
              <w:left w:val="nil"/>
              <w:bottom w:val="single" w:sz="12" w:space="0" w:color="auto"/>
              <w:right w:val="nil"/>
            </w:tcBorders>
            <w:vAlign w:val="center"/>
          </w:tcPr>
          <w:p w:rsidR="00CD4514" w:rsidRPr="00114BB8" w:rsidRDefault="00CD4514" w:rsidP="00477F96">
            <w:pPr>
              <w:jc w:val="center"/>
              <w:rPr>
                <w:rFonts w:ascii="Arial" w:hAnsi="Arial" w:cs="Arial"/>
                <w:b/>
                <w:bCs/>
                <w:sz w:val="18"/>
                <w:szCs w:val="18"/>
              </w:rPr>
            </w:pPr>
            <w:r w:rsidRPr="00114BB8">
              <w:rPr>
                <w:rFonts w:ascii="Arial" w:hAnsi="Arial" w:cs="Arial"/>
                <w:b/>
                <w:bCs/>
                <w:sz w:val="18"/>
                <w:szCs w:val="18"/>
              </w:rPr>
              <w:t>2013</w:t>
            </w:r>
          </w:p>
        </w:tc>
        <w:tc>
          <w:tcPr>
            <w:tcW w:w="850" w:type="dxa"/>
            <w:tcBorders>
              <w:top w:val="single" w:sz="12" w:space="0" w:color="auto"/>
              <w:left w:val="nil"/>
              <w:bottom w:val="single" w:sz="12" w:space="0" w:color="auto"/>
              <w:right w:val="nil"/>
            </w:tcBorders>
            <w:vAlign w:val="center"/>
          </w:tcPr>
          <w:p w:rsidR="00CD4514" w:rsidRPr="00114BB8" w:rsidRDefault="00CD4514" w:rsidP="00477F96">
            <w:pPr>
              <w:jc w:val="center"/>
              <w:rPr>
                <w:rFonts w:ascii="Arial" w:hAnsi="Arial" w:cs="Arial"/>
                <w:b/>
                <w:bCs/>
                <w:sz w:val="18"/>
                <w:szCs w:val="18"/>
              </w:rPr>
            </w:pPr>
            <w:r w:rsidRPr="00114BB8">
              <w:rPr>
                <w:rFonts w:ascii="Arial" w:hAnsi="Arial" w:cs="Arial"/>
                <w:b/>
                <w:bCs/>
                <w:sz w:val="18"/>
                <w:szCs w:val="18"/>
              </w:rPr>
              <w:t>2014</w:t>
            </w:r>
          </w:p>
        </w:tc>
        <w:tc>
          <w:tcPr>
            <w:tcW w:w="851" w:type="dxa"/>
            <w:tcBorders>
              <w:top w:val="single" w:sz="12" w:space="0" w:color="auto"/>
              <w:left w:val="nil"/>
              <w:bottom w:val="single" w:sz="12" w:space="0" w:color="auto"/>
              <w:right w:val="nil"/>
            </w:tcBorders>
            <w:vAlign w:val="center"/>
          </w:tcPr>
          <w:p w:rsidR="00CD4514" w:rsidRPr="00114BB8" w:rsidRDefault="00CD4514" w:rsidP="00477F96">
            <w:pPr>
              <w:jc w:val="center"/>
              <w:rPr>
                <w:rFonts w:ascii="Arial" w:hAnsi="Arial" w:cs="Arial"/>
                <w:b/>
                <w:bCs/>
                <w:sz w:val="18"/>
                <w:szCs w:val="18"/>
              </w:rPr>
            </w:pPr>
            <w:r w:rsidRPr="00114BB8">
              <w:rPr>
                <w:rFonts w:ascii="Arial" w:hAnsi="Arial" w:cs="Arial"/>
                <w:b/>
                <w:bCs/>
                <w:sz w:val="18"/>
                <w:szCs w:val="18"/>
              </w:rPr>
              <w:t>2015</w:t>
            </w:r>
          </w:p>
        </w:tc>
        <w:tc>
          <w:tcPr>
            <w:tcW w:w="850" w:type="dxa"/>
            <w:tcBorders>
              <w:top w:val="single" w:sz="12" w:space="0" w:color="auto"/>
              <w:left w:val="nil"/>
              <w:bottom w:val="single" w:sz="12" w:space="0" w:color="auto"/>
              <w:right w:val="nil"/>
            </w:tcBorders>
            <w:vAlign w:val="center"/>
          </w:tcPr>
          <w:p w:rsidR="00CD4514" w:rsidRPr="00114BB8" w:rsidRDefault="00CD4514" w:rsidP="00477F96">
            <w:pPr>
              <w:jc w:val="center"/>
              <w:rPr>
                <w:rFonts w:ascii="Arial" w:hAnsi="Arial" w:cs="Arial"/>
                <w:b/>
                <w:bCs/>
                <w:sz w:val="18"/>
                <w:szCs w:val="18"/>
              </w:rPr>
            </w:pPr>
            <w:r w:rsidRPr="00114BB8">
              <w:rPr>
                <w:rFonts w:ascii="Arial" w:hAnsi="Arial" w:cs="Arial"/>
                <w:b/>
                <w:bCs/>
                <w:sz w:val="18"/>
                <w:szCs w:val="18"/>
                <w:rtl/>
              </w:rPr>
              <w:t>2016</w:t>
            </w:r>
          </w:p>
        </w:tc>
        <w:tc>
          <w:tcPr>
            <w:tcW w:w="993" w:type="dxa"/>
            <w:tcBorders>
              <w:top w:val="single" w:sz="12" w:space="0" w:color="auto"/>
              <w:left w:val="nil"/>
              <w:bottom w:val="single" w:sz="12" w:space="0" w:color="auto"/>
              <w:right w:val="nil"/>
            </w:tcBorders>
            <w:vAlign w:val="center"/>
          </w:tcPr>
          <w:p w:rsidR="00CD4514" w:rsidRPr="00114BB8" w:rsidRDefault="00CD4514" w:rsidP="00477F96">
            <w:pPr>
              <w:jc w:val="center"/>
              <w:rPr>
                <w:rFonts w:ascii="Arial" w:hAnsi="Arial" w:cs="Arial"/>
                <w:b/>
                <w:bCs/>
                <w:sz w:val="18"/>
                <w:szCs w:val="18"/>
              </w:rPr>
            </w:pPr>
            <w:r w:rsidRPr="00114BB8">
              <w:rPr>
                <w:rFonts w:ascii="Arial" w:hAnsi="Arial" w:cs="Arial"/>
                <w:b/>
                <w:bCs/>
                <w:sz w:val="18"/>
                <w:szCs w:val="18"/>
              </w:rPr>
              <w:t>2017</w:t>
            </w:r>
          </w:p>
        </w:tc>
        <w:tc>
          <w:tcPr>
            <w:tcW w:w="992" w:type="dxa"/>
            <w:tcBorders>
              <w:top w:val="single" w:sz="12" w:space="0" w:color="auto"/>
              <w:left w:val="nil"/>
              <w:bottom w:val="single" w:sz="12" w:space="0" w:color="auto"/>
              <w:right w:val="nil"/>
            </w:tcBorders>
            <w:vAlign w:val="center"/>
          </w:tcPr>
          <w:p w:rsidR="00CD4514" w:rsidRPr="00114BB8" w:rsidRDefault="00CD4514" w:rsidP="00477F96">
            <w:pPr>
              <w:jc w:val="center"/>
              <w:rPr>
                <w:rFonts w:ascii="Arial" w:hAnsi="Arial" w:cs="Arial"/>
                <w:b/>
                <w:bCs/>
                <w:sz w:val="18"/>
                <w:szCs w:val="18"/>
              </w:rPr>
            </w:pPr>
            <w:r w:rsidRPr="00114BB8">
              <w:rPr>
                <w:rFonts w:ascii="Arial" w:hAnsi="Arial" w:cs="Arial"/>
                <w:b/>
                <w:bCs/>
                <w:sz w:val="18"/>
                <w:szCs w:val="18"/>
              </w:rPr>
              <w:t>2018*</w:t>
            </w:r>
          </w:p>
        </w:tc>
      </w:tr>
      <w:tr w:rsidR="00CD4514" w:rsidRPr="00114BB8" w:rsidTr="00EE45BF">
        <w:trPr>
          <w:trHeight w:val="340"/>
          <w:jc w:val="center"/>
        </w:trPr>
        <w:tc>
          <w:tcPr>
            <w:tcW w:w="4077" w:type="dxa"/>
            <w:tcBorders>
              <w:top w:val="single" w:sz="12" w:space="0" w:color="auto"/>
              <w:left w:val="nil"/>
              <w:bottom w:val="nil"/>
              <w:right w:val="nil"/>
            </w:tcBorders>
            <w:vAlign w:val="center"/>
          </w:tcPr>
          <w:p w:rsidR="00CD4514" w:rsidRPr="00114BB8" w:rsidRDefault="00CD4514" w:rsidP="00477F96">
            <w:pPr>
              <w:rPr>
                <w:rStyle w:val="hps"/>
                <w:rFonts w:ascii="Arial" w:hAnsi="Arial" w:cs="Arial"/>
              </w:rPr>
            </w:pPr>
            <w:r w:rsidRPr="00114BB8">
              <w:rPr>
                <w:rStyle w:val="hps"/>
                <w:rFonts w:ascii="Arial" w:hAnsi="Arial" w:cs="Arial"/>
                <w:sz w:val="18"/>
                <w:szCs w:val="18"/>
              </w:rPr>
              <w:t>Total Domestic Public Debt</w:t>
            </w:r>
          </w:p>
        </w:tc>
        <w:tc>
          <w:tcPr>
            <w:tcW w:w="851" w:type="dxa"/>
            <w:tcBorders>
              <w:top w:val="single" w:sz="12" w:space="0" w:color="auto"/>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1,267.6</w:t>
            </w:r>
          </w:p>
        </w:tc>
        <w:tc>
          <w:tcPr>
            <w:tcW w:w="850" w:type="dxa"/>
            <w:tcBorders>
              <w:top w:val="single" w:sz="12" w:space="0" w:color="auto"/>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1,128.0</w:t>
            </w:r>
          </w:p>
        </w:tc>
        <w:tc>
          <w:tcPr>
            <w:tcW w:w="851" w:type="dxa"/>
            <w:tcBorders>
              <w:top w:val="single" w:sz="12" w:space="0" w:color="auto"/>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1,466.5</w:t>
            </w:r>
          </w:p>
        </w:tc>
        <w:tc>
          <w:tcPr>
            <w:tcW w:w="850" w:type="dxa"/>
            <w:tcBorders>
              <w:top w:val="single" w:sz="12" w:space="0" w:color="auto"/>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1,439.8</w:t>
            </w:r>
          </w:p>
        </w:tc>
        <w:tc>
          <w:tcPr>
            <w:tcW w:w="993" w:type="dxa"/>
            <w:tcBorders>
              <w:top w:val="single" w:sz="12" w:space="0" w:color="auto"/>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1,501.1</w:t>
            </w:r>
          </w:p>
        </w:tc>
        <w:tc>
          <w:tcPr>
            <w:tcW w:w="992" w:type="dxa"/>
            <w:tcBorders>
              <w:top w:val="single" w:sz="12" w:space="0" w:color="auto"/>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1,337.8</w:t>
            </w:r>
          </w:p>
        </w:tc>
      </w:tr>
      <w:tr w:rsidR="00CD4514" w:rsidRPr="00114BB8" w:rsidTr="00EE45BF">
        <w:trPr>
          <w:trHeight w:val="340"/>
          <w:jc w:val="center"/>
        </w:trPr>
        <w:tc>
          <w:tcPr>
            <w:tcW w:w="4077" w:type="dxa"/>
            <w:tcBorders>
              <w:top w:val="nil"/>
              <w:left w:val="nil"/>
              <w:bottom w:val="nil"/>
              <w:right w:val="nil"/>
            </w:tcBorders>
            <w:vAlign w:val="center"/>
          </w:tcPr>
          <w:p w:rsidR="00CD4514" w:rsidRPr="00114BB8" w:rsidRDefault="00CD4514" w:rsidP="00477F96">
            <w:pPr>
              <w:rPr>
                <w:rStyle w:val="hps"/>
                <w:rFonts w:ascii="Arial" w:hAnsi="Arial" w:cs="Arial"/>
              </w:rPr>
            </w:pPr>
            <w:r w:rsidRPr="00114BB8">
              <w:rPr>
                <w:rStyle w:val="hps"/>
                <w:rFonts w:ascii="Arial" w:hAnsi="Arial" w:cs="Arial"/>
                <w:sz w:val="18"/>
                <w:szCs w:val="18"/>
              </w:rPr>
              <w:t>Total External Public Debt</w:t>
            </w:r>
          </w:p>
        </w:tc>
        <w:tc>
          <w:tcPr>
            <w:tcW w:w="851" w:type="dxa"/>
            <w:tcBorders>
              <w:top w:val="nil"/>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1,109.0</w:t>
            </w:r>
          </w:p>
        </w:tc>
        <w:tc>
          <w:tcPr>
            <w:tcW w:w="850" w:type="dxa"/>
            <w:tcBorders>
              <w:top w:val="nil"/>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1,089.0</w:t>
            </w:r>
          </w:p>
        </w:tc>
        <w:tc>
          <w:tcPr>
            <w:tcW w:w="851" w:type="dxa"/>
            <w:tcBorders>
              <w:top w:val="nil"/>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1,071.0</w:t>
            </w:r>
          </w:p>
        </w:tc>
        <w:tc>
          <w:tcPr>
            <w:tcW w:w="850" w:type="dxa"/>
            <w:tcBorders>
              <w:top w:val="nil"/>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1,044.0</w:t>
            </w:r>
          </w:p>
        </w:tc>
        <w:tc>
          <w:tcPr>
            <w:tcW w:w="993" w:type="dxa"/>
            <w:tcBorders>
              <w:top w:val="nil"/>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1,042.0</w:t>
            </w:r>
          </w:p>
        </w:tc>
        <w:tc>
          <w:tcPr>
            <w:tcW w:w="992" w:type="dxa"/>
            <w:tcBorders>
              <w:top w:val="nil"/>
              <w:left w:val="nil"/>
              <w:bottom w:val="nil"/>
              <w:right w:val="nil"/>
            </w:tcBorders>
            <w:vAlign w:val="center"/>
          </w:tcPr>
          <w:p w:rsidR="00CD4514" w:rsidRPr="00114BB8" w:rsidRDefault="00CD4514" w:rsidP="00477F96">
            <w:pPr>
              <w:bidi/>
              <w:rPr>
                <w:rFonts w:ascii="Arial" w:hAnsi="Arial" w:cs="Arial"/>
                <w:sz w:val="18"/>
                <w:szCs w:val="18"/>
              </w:rPr>
            </w:pPr>
            <w:r w:rsidRPr="00114BB8">
              <w:rPr>
                <w:rFonts w:ascii="Arial" w:hAnsi="Arial" w:cs="Arial"/>
                <w:sz w:val="18"/>
                <w:szCs w:val="18"/>
                <w:rtl/>
              </w:rPr>
              <w:t>1,031.7</w:t>
            </w:r>
          </w:p>
        </w:tc>
      </w:tr>
      <w:tr w:rsidR="00CD4514" w:rsidRPr="00114BB8" w:rsidTr="00EE45BF">
        <w:trPr>
          <w:trHeight w:val="340"/>
          <w:jc w:val="center"/>
        </w:trPr>
        <w:tc>
          <w:tcPr>
            <w:tcW w:w="4077" w:type="dxa"/>
            <w:tcBorders>
              <w:top w:val="nil"/>
              <w:left w:val="nil"/>
              <w:bottom w:val="single" w:sz="12" w:space="0" w:color="auto"/>
              <w:right w:val="nil"/>
            </w:tcBorders>
            <w:vAlign w:val="center"/>
          </w:tcPr>
          <w:p w:rsidR="00CD4514" w:rsidRPr="00114BB8" w:rsidRDefault="00CD4514" w:rsidP="00477F96">
            <w:pPr>
              <w:rPr>
                <w:rStyle w:val="hps"/>
                <w:rFonts w:ascii="Arial" w:hAnsi="Arial" w:cs="Arial"/>
                <w:b/>
                <w:bCs/>
              </w:rPr>
            </w:pPr>
            <w:r w:rsidRPr="00114BB8">
              <w:rPr>
                <w:rStyle w:val="hps"/>
                <w:rFonts w:ascii="Arial" w:hAnsi="Arial" w:cs="Arial"/>
                <w:b/>
                <w:bCs/>
                <w:sz w:val="18"/>
                <w:szCs w:val="18"/>
              </w:rPr>
              <w:t>Total Public Debt</w:t>
            </w:r>
          </w:p>
        </w:tc>
        <w:tc>
          <w:tcPr>
            <w:tcW w:w="851" w:type="dxa"/>
            <w:tcBorders>
              <w:top w:val="nil"/>
              <w:left w:val="nil"/>
              <w:bottom w:val="single" w:sz="12" w:space="0" w:color="auto"/>
              <w:right w:val="nil"/>
            </w:tcBorders>
            <w:vAlign w:val="center"/>
          </w:tcPr>
          <w:p w:rsidR="00CD4514" w:rsidRPr="00114BB8" w:rsidRDefault="00CD4514" w:rsidP="00477F96">
            <w:pPr>
              <w:bidi/>
              <w:rPr>
                <w:rFonts w:ascii="Arial" w:hAnsi="Arial" w:cs="Arial"/>
                <w:b/>
                <w:bCs/>
                <w:sz w:val="18"/>
                <w:szCs w:val="18"/>
              </w:rPr>
            </w:pPr>
            <w:r w:rsidRPr="00114BB8">
              <w:rPr>
                <w:rFonts w:ascii="Arial" w:hAnsi="Arial" w:cs="Arial"/>
                <w:b/>
                <w:bCs/>
                <w:sz w:val="18"/>
                <w:szCs w:val="18"/>
              </w:rPr>
              <w:t>2,376.6</w:t>
            </w:r>
          </w:p>
        </w:tc>
        <w:tc>
          <w:tcPr>
            <w:tcW w:w="850" w:type="dxa"/>
            <w:tcBorders>
              <w:top w:val="nil"/>
              <w:left w:val="nil"/>
              <w:bottom w:val="single" w:sz="12" w:space="0" w:color="auto"/>
              <w:right w:val="nil"/>
            </w:tcBorders>
            <w:vAlign w:val="center"/>
          </w:tcPr>
          <w:p w:rsidR="00CD4514" w:rsidRPr="00114BB8" w:rsidRDefault="00CD4514" w:rsidP="00477F96">
            <w:pPr>
              <w:bidi/>
              <w:rPr>
                <w:rFonts w:ascii="Arial" w:hAnsi="Arial" w:cs="Arial"/>
                <w:b/>
                <w:bCs/>
                <w:sz w:val="18"/>
                <w:szCs w:val="18"/>
              </w:rPr>
            </w:pPr>
            <w:r w:rsidRPr="00114BB8">
              <w:rPr>
                <w:rFonts w:ascii="Arial" w:hAnsi="Arial" w:cs="Arial"/>
                <w:b/>
                <w:bCs/>
                <w:sz w:val="18"/>
                <w:szCs w:val="18"/>
              </w:rPr>
              <w:t>2,217.0</w:t>
            </w:r>
          </w:p>
        </w:tc>
        <w:tc>
          <w:tcPr>
            <w:tcW w:w="851" w:type="dxa"/>
            <w:tcBorders>
              <w:top w:val="nil"/>
              <w:left w:val="nil"/>
              <w:bottom w:val="single" w:sz="12" w:space="0" w:color="auto"/>
              <w:right w:val="nil"/>
            </w:tcBorders>
            <w:vAlign w:val="center"/>
          </w:tcPr>
          <w:p w:rsidR="00CD4514" w:rsidRPr="00114BB8" w:rsidRDefault="00CD4514" w:rsidP="00477F96">
            <w:pPr>
              <w:bidi/>
              <w:rPr>
                <w:rFonts w:ascii="Arial" w:hAnsi="Arial" w:cs="Arial"/>
                <w:b/>
                <w:bCs/>
                <w:sz w:val="18"/>
                <w:szCs w:val="18"/>
              </w:rPr>
            </w:pPr>
            <w:r w:rsidRPr="00114BB8">
              <w:rPr>
                <w:rFonts w:ascii="Arial" w:hAnsi="Arial" w:cs="Arial"/>
                <w:b/>
                <w:bCs/>
                <w:sz w:val="18"/>
                <w:szCs w:val="18"/>
              </w:rPr>
              <w:t>2,537.5</w:t>
            </w:r>
          </w:p>
        </w:tc>
        <w:tc>
          <w:tcPr>
            <w:tcW w:w="850" w:type="dxa"/>
            <w:tcBorders>
              <w:top w:val="nil"/>
              <w:left w:val="nil"/>
              <w:bottom w:val="single" w:sz="12" w:space="0" w:color="auto"/>
              <w:right w:val="nil"/>
            </w:tcBorders>
            <w:vAlign w:val="center"/>
          </w:tcPr>
          <w:p w:rsidR="00CD4514" w:rsidRPr="00114BB8" w:rsidRDefault="00CD4514" w:rsidP="00477F96">
            <w:pPr>
              <w:bidi/>
              <w:rPr>
                <w:rFonts w:ascii="Arial" w:hAnsi="Arial" w:cs="Arial"/>
                <w:b/>
                <w:bCs/>
                <w:sz w:val="18"/>
                <w:szCs w:val="18"/>
              </w:rPr>
            </w:pPr>
            <w:r w:rsidRPr="00114BB8">
              <w:rPr>
                <w:rFonts w:ascii="Arial" w:hAnsi="Arial" w:cs="Arial"/>
                <w:b/>
                <w:bCs/>
                <w:sz w:val="18"/>
                <w:szCs w:val="18"/>
              </w:rPr>
              <w:t>2,483.8</w:t>
            </w:r>
          </w:p>
        </w:tc>
        <w:tc>
          <w:tcPr>
            <w:tcW w:w="993" w:type="dxa"/>
            <w:tcBorders>
              <w:top w:val="nil"/>
              <w:left w:val="nil"/>
              <w:bottom w:val="single" w:sz="12" w:space="0" w:color="auto"/>
              <w:right w:val="nil"/>
            </w:tcBorders>
            <w:vAlign w:val="center"/>
          </w:tcPr>
          <w:p w:rsidR="00CD4514" w:rsidRPr="00114BB8" w:rsidRDefault="00CD4514" w:rsidP="00477F96">
            <w:pPr>
              <w:bidi/>
              <w:rPr>
                <w:rFonts w:ascii="Arial" w:hAnsi="Arial" w:cs="Arial"/>
                <w:b/>
                <w:bCs/>
                <w:sz w:val="18"/>
                <w:szCs w:val="18"/>
              </w:rPr>
            </w:pPr>
            <w:r w:rsidRPr="00114BB8">
              <w:rPr>
                <w:rFonts w:ascii="Arial" w:hAnsi="Arial" w:cs="Arial"/>
                <w:b/>
                <w:bCs/>
                <w:sz w:val="18"/>
                <w:szCs w:val="18"/>
              </w:rPr>
              <w:t>2,543.1</w:t>
            </w:r>
          </w:p>
        </w:tc>
        <w:tc>
          <w:tcPr>
            <w:tcW w:w="992" w:type="dxa"/>
            <w:tcBorders>
              <w:top w:val="nil"/>
              <w:left w:val="nil"/>
              <w:bottom w:val="single" w:sz="12" w:space="0" w:color="auto"/>
              <w:right w:val="nil"/>
            </w:tcBorders>
            <w:vAlign w:val="center"/>
          </w:tcPr>
          <w:p w:rsidR="00CD4514" w:rsidRPr="00114BB8" w:rsidRDefault="00CD4514" w:rsidP="00477F96">
            <w:pPr>
              <w:bidi/>
              <w:rPr>
                <w:rFonts w:ascii="Arial" w:hAnsi="Arial" w:cs="Arial"/>
                <w:b/>
                <w:bCs/>
                <w:sz w:val="18"/>
                <w:szCs w:val="18"/>
              </w:rPr>
            </w:pPr>
            <w:r w:rsidRPr="00114BB8">
              <w:rPr>
                <w:rFonts w:ascii="Arial" w:hAnsi="Arial" w:cs="Arial"/>
                <w:b/>
                <w:bCs/>
                <w:sz w:val="18"/>
                <w:szCs w:val="18"/>
              </w:rPr>
              <w:t>2,369.5</w:t>
            </w:r>
          </w:p>
        </w:tc>
      </w:tr>
    </w:tbl>
    <w:p w:rsidR="00CD4514" w:rsidRPr="00114BB8" w:rsidRDefault="00114BB8" w:rsidP="00E7271F">
      <w:pPr>
        <w:tabs>
          <w:tab w:val="left" w:pos="1833"/>
        </w:tabs>
        <w:spacing w:after="0" w:line="240" w:lineRule="auto"/>
        <w:ind w:left="-113" w:right="-57"/>
        <w:rPr>
          <w:rFonts w:ascii="Arial" w:hAnsi="Arial" w:cs="Arial"/>
          <w:sz w:val="18"/>
          <w:szCs w:val="18"/>
        </w:rPr>
      </w:pPr>
      <w:r>
        <w:rPr>
          <w:rFonts w:ascii="Arial" w:hAnsi="Arial" w:cs="Arial"/>
          <w:sz w:val="18"/>
          <w:szCs w:val="18"/>
          <w:lang w:val="en-US"/>
        </w:rPr>
        <w:t xml:space="preserve">  </w:t>
      </w:r>
      <w:r w:rsidR="00CD4514" w:rsidRPr="00114BB8">
        <w:rPr>
          <w:rFonts w:ascii="Arial" w:hAnsi="Arial" w:cs="Arial"/>
          <w:sz w:val="18"/>
          <w:szCs w:val="18"/>
        </w:rPr>
        <w:t xml:space="preserve">*Represents the data </w:t>
      </w:r>
      <w:r w:rsidR="00E7271F" w:rsidRPr="00114BB8">
        <w:rPr>
          <w:rFonts w:ascii="Arial" w:hAnsi="Arial" w:cs="Arial"/>
          <w:sz w:val="18"/>
          <w:szCs w:val="18"/>
        </w:rPr>
        <w:t xml:space="preserve">for end </w:t>
      </w:r>
      <w:r w:rsidR="00CD4514" w:rsidRPr="00114BB8">
        <w:rPr>
          <w:rFonts w:ascii="Arial" w:hAnsi="Arial" w:cs="Arial"/>
          <w:sz w:val="18"/>
          <w:szCs w:val="18"/>
        </w:rPr>
        <w:t>of fourth quarter 2018</w:t>
      </w:r>
      <w:r w:rsidR="00CD4514" w:rsidRPr="00114BB8">
        <w:rPr>
          <w:rFonts w:ascii="Arial" w:hAnsi="Arial" w:cs="Arial"/>
          <w:sz w:val="18"/>
          <w:szCs w:val="18"/>
        </w:rPr>
        <w:tab/>
      </w: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B868A9">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 xml:space="preserve">The total public debt value of Palestine fluctuated during the period 2013-2018, reaching USD 2,369.5 million at the end of 2018, which decreased by 6.8%, compared to 2017, </w:t>
      </w:r>
      <w:r w:rsidRPr="00477F96">
        <w:rPr>
          <w:rFonts w:ascii="Times New Roman" w:hAnsi="Times New Roman" w:cs="Times New Roman"/>
          <w:sz w:val="24"/>
          <w:szCs w:val="24"/>
        </w:rPr>
        <w:t>where the</w:t>
      </w:r>
      <w:r w:rsidRPr="00477F96">
        <w:rPr>
          <w:rFonts w:ascii="Times New Roman" w:hAnsi="Times New Roman" w:cs="Times New Roman"/>
          <w:b/>
          <w:bCs/>
          <w:sz w:val="24"/>
          <w:szCs w:val="24"/>
        </w:rPr>
        <w:t xml:space="preserve"> </w:t>
      </w:r>
      <w:r w:rsidRPr="00477F96">
        <w:rPr>
          <w:rFonts w:ascii="Times New Roman" w:hAnsi="Times New Roman" w:cs="Times New Roman"/>
          <w:sz w:val="24"/>
          <w:szCs w:val="24"/>
        </w:rPr>
        <w:t xml:space="preserve">total domestic public amounted to USD </w:t>
      </w:r>
      <w:r w:rsidRPr="00477F96">
        <w:rPr>
          <w:rFonts w:ascii="Times New Roman" w:hAnsi="Times New Roman" w:cs="Times New Roman"/>
          <w:sz w:val="24"/>
          <w:szCs w:val="24"/>
          <w:rtl/>
        </w:rPr>
        <w:t>1,337.8</w:t>
      </w:r>
      <w:r w:rsidRPr="00477F96">
        <w:rPr>
          <w:rFonts w:ascii="Times New Roman" w:hAnsi="Times New Roman" w:cs="Times New Roman"/>
          <w:sz w:val="24"/>
          <w:szCs w:val="24"/>
        </w:rPr>
        <w:t xml:space="preserve"> million representing 56.5% of total public debt value which decreased by 10.9% compared to 2017, and the total external public debt amounted to USD </w:t>
      </w:r>
      <w:r w:rsidRPr="00477F96">
        <w:rPr>
          <w:rFonts w:ascii="Times New Roman" w:hAnsi="Times New Roman" w:cs="Times New Roman"/>
          <w:sz w:val="24"/>
          <w:szCs w:val="24"/>
          <w:rtl/>
        </w:rPr>
        <w:t>1,031.7</w:t>
      </w:r>
      <w:r w:rsidRPr="00477F96">
        <w:rPr>
          <w:rFonts w:ascii="Times New Roman" w:hAnsi="Times New Roman" w:cs="Times New Roman"/>
          <w:sz w:val="24"/>
          <w:szCs w:val="24"/>
        </w:rPr>
        <w:t xml:space="preserve"> million representing 43.5% of total public debt value which decreased by 1.0% compared to 2017. (See figure </w:t>
      </w:r>
      <w:r w:rsidR="00B868A9">
        <w:rPr>
          <w:rFonts w:ascii="Times New Roman" w:hAnsi="Times New Roman" w:cs="Times New Roman"/>
          <w:sz w:val="24"/>
          <w:szCs w:val="24"/>
        </w:rPr>
        <w:t>follow</w:t>
      </w:r>
      <w:r w:rsidRPr="00477F96">
        <w:rPr>
          <w:rFonts w:ascii="Times New Roman" w:hAnsi="Times New Roman" w:cs="Times New Roman"/>
          <w:sz w:val="24"/>
          <w:szCs w:val="24"/>
        </w:rPr>
        <w:t xml:space="preserve">). </w:t>
      </w:r>
    </w:p>
    <w:p w:rsidR="00CD4514" w:rsidRPr="00477F96" w:rsidRDefault="00CD4514" w:rsidP="00477F96">
      <w:pPr>
        <w:spacing w:after="0" w:line="240" w:lineRule="auto"/>
        <w:jc w:val="both"/>
        <w:rPr>
          <w:rFonts w:ascii="Times New Roman" w:hAnsi="Times New Roman" w:cs="Times New Roman"/>
          <w:sz w:val="24"/>
          <w:szCs w:val="24"/>
        </w:rPr>
      </w:pPr>
    </w:p>
    <w:p w:rsidR="00114BB8" w:rsidRDefault="00114BB8">
      <w:pPr>
        <w:rPr>
          <w:rFonts w:ascii="Arial" w:hAnsi="Arial" w:cs="Arial"/>
          <w:b/>
          <w:bCs/>
        </w:rPr>
      </w:pPr>
      <w:r>
        <w:rPr>
          <w:rFonts w:ascii="Arial" w:hAnsi="Arial" w:cs="Arial"/>
          <w:b/>
          <w:bCs/>
        </w:rPr>
        <w:br w:type="page"/>
      </w:r>
    </w:p>
    <w:p w:rsidR="00CD4514" w:rsidRPr="00EE45BF" w:rsidRDefault="00CD4514" w:rsidP="00477F96">
      <w:pPr>
        <w:pStyle w:val="BodyText3"/>
        <w:spacing w:after="0" w:line="240" w:lineRule="auto"/>
        <w:contextualSpacing/>
        <w:jc w:val="center"/>
        <w:rPr>
          <w:rFonts w:ascii="Arial" w:hAnsi="Arial" w:cs="Arial"/>
          <w:b/>
          <w:bCs/>
          <w:sz w:val="22"/>
          <w:szCs w:val="22"/>
        </w:rPr>
      </w:pPr>
      <w:r w:rsidRPr="00EE45BF">
        <w:rPr>
          <w:rFonts w:ascii="Arial" w:hAnsi="Arial" w:cs="Arial"/>
          <w:b/>
          <w:bCs/>
          <w:sz w:val="22"/>
          <w:szCs w:val="22"/>
        </w:rPr>
        <w:lastRenderedPageBreak/>
        <w:t>Trend of total domestic and external public debt of Palestine</w:t>
      </w:r>
      <w:r w:rsidR="00EF105D">
        <w:rPr>
          <w:rFonts w:ascii="Arial" w:hAnsi="Arial" w:cs="Arial"/>
          <w:b/>
          <w:bCs/>
          <w:sz w:val="22"/>
          <w:szCs w:val="22"/>
        </w:rPr>
        <w:t xml:space="preserve"> at the end of the years, 2013-</w:t>
      </w:r>
      <w:r w:rsidRPr="00EE45BF">
        <w:rPr>
          <w:rFonts w:ascii="Arial" w:hAnsi="Arial" w:cs="Arial"/>
          <w:b/>
          <w:bCs/>
          <w:sz w:val="22"/>
          <w:szCs w:val="22"/>
        </w:rPr>
        <w:t>2018</w:t>
      </w:r>
    </w:p>
    <w:tbl>
      <w:tblPr>
        <w:tblStyle w:val="TableGrid"/>
        <w:tblW w:w="0" w:type="auto"/>
        <w:tblInd w:w="108" w:type="dxa"/>
        <w:tblLayout w:type="fixed"/>
        <w:tblLook w:val="04A0"/>
      </w:tblPr>
      <w:tblGrid>
        <w:gridCol w:w="9072"/>
      </w:tblGrid>
      <w:tr w:rsidR="00CD4514" w:rsidRPr="00477F96" w:rsidTr="00EE45BF">
        <w:tc>
          <w:tcPr>
            <w:tcW w:w="9072" w:type="dxa"/>
          </w:tcPr>
          <w:p w:rsidR="00CD4514" w:rsidRPr="00477F96" w:rsidRDefault="00CD4514" w:rsidP="00477F96">
            <w:pPr>
              <w:pStyle w:val="BodyText3"/>
              <w:spacing w:after="0"/>
              <w:contextualSpacing/>
              <w:jc w:val="center"/>
              <w:rPr>
                <w:rFonts w:ascii="Times New Roman" w:hAnsi="Times New Roman" w:cs="Times New Roman"/>
              </w:rPr>
            </w:pPr>
            <w:r w:rsidRPr="00477F96">
              <w:rPr>
                <w:rFonts w:ascii="Times New Roman" w:hAnsi="Times New Roman" w:cs="Times New Roman"/>
                <w:noProof/>
              </w:rPr>
              <w:drawing>
                <wp:inline distT="0" distB="0" distL="0" distR="0">
                  <wp:extent cx="5570717" cy="2663687"/>
                  <wp:effectExtent l="19050" t="0" r="0" b="0"/>
                  <wp:docPr id="32"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bl>
    <w:p w:rsidR="00CD4514" w:rsidRPr="00E7271F" w:rsidRDefault="00CD4514" w:rsidP="00477F96">
      <w:pPr>
        <w:pStyle w:val="BodyText3"/>
        <w:spacing w:after="0" w:line="240" w:lineRule="auto"/>
        <w:contextualSpacing/>
        <w:jc w:val="center"/>
        <w:rPr>
          <w:rFonts w:ascii="Times New Roman" w:hAnsi="Times New Roman" w:cs="Times New Roman"/>
          <w:b/>
          <w:bCs/>
          <w:sz w:val="24"/>
          <w:szCs w:val="24"/>
          <w:lang w:val="en-US"/>
        </w:rPr>
      </w:pPr>
      <w:r w:rsidRPr="00477F96">
        <w:rPr>
          <w:rFonts w:ascii="Times New Roman" w:hAnsi="Times New Roman" w:cs="Times New Roman"/>
        </w:rPr>
        <w:br/>
      </w:r>
    </w:p>
    <w:p w:rsidR="00CD4514" w:rsidRPr="00477F96" w:rsidRDefault="00CD4514" w:rsidP="00E7271F">
      <w:pPr>
        <w:spacing w:after="0" w:line="240" w:lineRule="auto"/>
        <w:jc w:val="both"/>
        <w:rPr>
          <w:rFonts w:ascii="Times New Roman" w:hAnsi="Times New Roman" w:cs="Times New Roman"/>
          <w:sz w:val="24"/>
          <w:szCs w:val="24"/>
          <w:rtl/>
        </w:rPr>
      </w:pPr>
      <w:r w:rsidRPr="00477F96">
        <w:rPr>
          <w:rFonts w:ascii="Times New Roman" w:hAnsi="Times New Roman" w:cs="Times New Roman"/>
          <w:b/>
          <w:bCs/>
          <w:sz w:val="24"/>
          <w:szCs w:val="24"/>
        </w:rPr>
        <w:t xml:space="preserve">The percentage of the total public debt to the GDP (at current prices) in Palestine fluctuated during the years 2013- 2018, where it dropped in 2014 to 17.4%, </w:t>
      </w:r>
      <w:r w:rsidRPr="00477F96">
        <w:rPr>
          <w:rFonts w:ascii="Times New Roman" w:hAnsi="Times New Roman" w:cs="Times New Roman"/>
          <w:sz w:val="24"/>
          <w:szCs w:val="24"/>
        </w:rPr>
        <w:t xml:space="preserve">then increased in 2015 to 20.0%, before it gradually declined again in 2016 and reached the lowest level in 2018 by 16.2%. (See figure </w:t>
      </w:r>
      <w:r w:rsidR="00E7271F">
        <w:rPr>
          <w:rFonts w:ascii="Times New Roman" w:hAnsi="Times New Roman" w:cs="Times New Roman"/>
          <w:sz w:val="24"/>
          <w:szCs w:val="24"/>
        </w:rPr>
        <w:t>follow</w:t>
      </w:r>
      <w:r w:rsidRPr="00477F96">
        <w:rPr>
          <w:rFonts w:ascii="Times New Roman" w:hAnsi="Times New Roman" w:cs="Times New Roman"/>
          <w:sz w:val="24"/>
          <w:szCs w:val="24"/>
        </w:rPr>
        <w:t>).</w:t>
      </w:r>
    </w:p>
    <w:p w:rsidR="00E7271F" w:rsidRPr="00477F96" w:rsidRDefault="00E7271F" w:rsidP="00477F96">
      <w:pPr>
        <w:spacing w:after="0" w:line="240" w:lineRule="auto"/>
        <w:jc w:val="both"/>
        <w:rPr>
          <w:rFonts w:ascii="Times New Roman" w:hAnsi="Times New Roman" w:cs="Times New Roman"/>
          <w:sz w:val="24"/>
          <w:szCs w:val="24"/>
          <w:rtl/>
        </w:rPr>
      </w:pPr>
    </w:p>
    <w:p w:rsidR="00CD4514" w:rsidRPr="00CD110D" w:rsidRDefault="00CD4514" w:rsidP="00E33322">
      <w:pPr>
        <w:bidi/>
        <w:spacing w:after="0" w:line="240" w:lineRule="auto"/>
        <w:jc w:val="center"/>
        <w:rPr>
          <w:rFonts w:ascii="Arial" w:eastAsia="Times New Roman" w:hAnsi="Arial" w:cs="Arial"/>
          <w:b/>
          <w:bCs/>
          <w:lang w:eastAsia="ar-SA"/>
        </w:rPr>
      </w:pPr>
      <w:r w:rsidRPr="00CD110D">
        <w:rPr>
          <w:rFonts w:ascii="Arial" w:eastAsia="Times New Roman" w:hAnsi="Arial" w:cs="Arial"/>
          <w:b/>
          <w:bCs/>
          <w:lang w:eastAsia="ar-SA"/>
        </w:rPr>
        <w:t xml:space="preserve">Trend of </w:t>
      </w:r>
      <w:r w:rsidRPr="00CD110D">
        <w:rPr>
          <w:rFonts w:ascii="Arial" w:hAnsi="Arial" w:cs="Arial"/>
          <w:b/>
          <w:bCs/>
        </w:rPr>
        <w:t>percentage of total public debt to the GDP (at current prices) in Palestine</w:t>
      </w:r>
      <w:r w:rsidR="00EF105D">
        <w:rPr>
          <w:rFonts w:ascii="Arial" w:eastAsia="Times New Roman" w:hAnsi="Arial" w:cs="Arial"/>
          <w:b/>
          <w:bCs/>
          <w:lang w:eastAsia="ar-SA"/>
        </w:rPr>
        <w:t>, 2013-</w:t>
      </w:r>
      <w:r w:rsidRPr="00CD110D">
        <w:rPr>
          <w:rFonts w:ascii="Arial" w:eastAsia="Times New Roman" w:hAnsi="Arial" w:cs="Arial"/>
          <w:b/>
          <w:bCs/>
          <w:lang w:eastAsia="ar-SA"/>
        </w:rPr>
        <w:t>2018</w:t>
      </w:r>
    </w:p>
    <w:tbl>
      <w:tblPr>
        <w:tblStyle w:val="TableGrid"/>
        <w:bidiVisual/>
        <w:tblW w:w="0" w:type="auto"/>
        <w:tblInd w:w="106" w:type="dxa"/>
        <w:tblLayout w:type="fixed"/>
        <w:tblLook w:val="04A0"/>
      </w:tblPr>
      <w:tblGrid>
        <w:gridCol w:w="9072"/>
      </w:tblGrid>
      <w:tr w:rsidR="00CD4514" w:rsidRPr="00477F96" w:rsidTr="00CD110D">
        <w:tc>
          <w:tcPr>
            <w:tcW w:w="9072" w:type="dxa"/>
          </w:tcPr>
          <w:p w:rsidR="00CD4514" w:rsidRPr="00477F96" w:rsidRDefault="00CD4514" w:rsidP="00477F96">
            <w:pPr>
              <w:bidi/>
              <w:jc w:val="center"/>
              <w:rPr>
                <w:rFonts w:ascii="Times New Roman" w:eastAsia="Times New Roman" w:hAnsi="Times New Roman" w:cs="Times New Roman"/>
                <w:b/>
                <w:bCs/>
                <w:rtl/>
                <w:lang w:eastAsia="ar-SA"/>
              </w:rPr>
            </w:pPr>
            <w:r w:rsidRPr="00477F96">
              <w:rPr>
                <w:rFonts w:ascii="Times New Roman" w:eastAsia="Times New Roman" w:hAnsi="Times New Roman" w:cs="Times New Roman"/>
                <w:b/>
                <w:bCs/>
                <w:noProof/>
                <w:rtl/>
              </w:rPr>
              <w:drawing>
                <wp:inline distT="0" distB="0" distL="0" distR="0">
                  <wp:extent cx="5594571" cy="2536466"/>
                  <wp:effectExtent l="19050" t="0" r="6129" b="0"/>
                  <wp:docPr id="35"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r>
    </w:tbl>
    <w:p w:rsidR="00CD4514" w:rsidRPr="00477F96" w:rsidRDefault="00CD4514" w:rsidP="00477F96">
      <w:pPr>
        <w:bidi/>
        <w:spacing w:after="0" w:line="240" w:lineRule="auto"/>
        <w:jc w:val="center"/>
        <w:rPr>
          <w:rFonts w:ascii="Times New Roman" w:eastAsia="Times New Roman" w:hAnsi="Times New Roman" w:cs="Times New Roman"/>
          <w:b/>
          <w:bCs/>
          <w:lang w:eastAsia="ar-SA"/>
        </w:rPr>
      </w:pPr>
    </w:p>
    <w:p w:rsidR="00CD4514" w:rsidRPr="00477F96" w:rsidRDefault="00CD4514" w:rsidP="00477F96">
      <w:pPr>
        <w:spacing w:after="0" w:line="240" w:lineRule="auto"/>
        <w:jc w:val="lowKashida"/>
        <w:rPr>
          <w:rFonts w:ascii="Times New Roman" w:hAnsi="Times New Roman" w:cs="Times New Roman"/>
          <w:b/>
          <w:bCs/>
          <w:rtl/>
        </w:rPr>
      </w:pPr>
    </w:p>
    <w:p w:rsidR="00CD4514" w:rsidRPr="00477F96" w:rsidRDefault="00CD4514" w:rsidP="00477F96">
      <w:pPr>
        <w:spacing w:after="0" w:line="240" w:lineRule="auto"/>
        <w:rPr>
          <w:rFonts w:ascii="Times New Roman" w:hAnsi="Times New Roman" w:cs="Times New Roman"/>
          <w:b/>
          <w:bCs/>
          <w:sz w:val="28"/>
          <w:szCs w:val="28"/>
        </w:rPr>
      </w:pPr>
    </w:p>
    <w:p w:rsidR="00CD4514" w:rsidRPr="00477F96" w:rsidRDefault="00CD4514" w:rsidP="00477F96">
      <w:pPr>
        <w:spacing w:after="0" w:line="240" w:lineRule="auto"/>
        <w:rPr>
          <w:rFonts w:ascii="Times New Roman" w:hAnsi="Times New Roman" w:cs="Times New Roman"/>
          <w:b/>
          <w:bCs/>
          <w:sz w:val="28"/>
          <w:szCs w:val="28"/>
        </w:rPr>
      </w:pPr>
    </w:p>
    <w:p w:rsidR="00CD4514" w:rsidRPr="00477F96" w:rsidRDefault="00CD4514" w:rsidP="00477F96">
      <w:pPr>
        <w:spacing w:after="0" w:line="240" w:lineRule="auto"/>
        <w:rPr>
          <w:rFonts w:ascii="Times New Roman" w:hAnsi="Times New Roman" w:cs="Times New Roman"/>
          <w:b/>
          <w:bCs/>
          <w:sz w:val="28"/>
          <w:szCs w:val="28"/>
        </w:rPr>
      </w:pPr>
    </w:p>
    <w:p w:rsidR="00CD4514" w:rsidRPr="00477F96" w:rsidRDefault="00CD4514" w:rsidP="00477F96">
      <w:pPr>
        <w:spacing w:after="0" w:line="240" w:lineRule="auto"/>
        <w:rPr>
          <w:rFonts w:ascii="Times New Roman" w:hAnsi="Times New Roman" w:cs="Times New Roman"/>
          <w:b/>
          <w:bCs/>
          <w:sz w:val="28"/>
          <w:szCs w:val="28"/>
        </w:rPr>
      </w:pPr>
    </w:p>
    <w:p w:rsidR="00CD4514" w:rsidRPr="00477F96" w:rsidRDefault="00CD4514" w:rsidP="00477F96">
      <w:pPr>
        <w:spacing w:after="0" w:line="240" w:lineRule="auto"/>
        <w:rPr>
          <w:rFonts w:ascii="Times New Roman" w:hAnsi="Times New Roman" w:cs="Times New Roman"/>
          <w:b/>
          <w:bCs/>
          <w:sz w:val="28"/>
          <w:szCs w:val="28"/>
        </w:rPr>
      </w:pPr>
    </w:p>
    <w:p w:rsidR="00CD4514" w:rsidRPr="00477F96" w:rsidRDefault="00CD4514" w:rsidP="00477F96">
      <w:pPr>
        <w:spacing w:after="0" w:line="240" w:lineRule="auto"/>
        <w:rPr>
          <w:rFonts w:ascii="Times New Roman" w:hAnsi="Times New Roman" w:cs="Times New Roman"/>
          <w:b/>
          <w:bCs/>
          <w:sz w:val="28"/>
          <w:szCs w:val="28"/>
        </w:rPr>
      </w:pPr>
    </w:p>
    <w:p w:rsidR="00CD4514" w:rsidRPr="00477F96" w:rsidRDefault="00CD4514" w:rsidP="00477F96">
      <w:pPr>
        <w:spacing w:after="0" w:line="240" w:lineRule="auto"/>
        <w:rPr>
          <w:rFonts w:ascii="Times New Roman" w:hAnsi="Times New Roman" w:cs="Times New Roman"/>
          <w:b/>
          <w:bCs/>
          <w:sz w:val="28"/>
          <w:szCs w:val="28"/>
        </w:rPr>
      </w:pPr>
    </w:p>
    <w:p w:rsidR="00CD4514" w:rsidRPr="00477F96" w:rsidRDefault="00CD4514" w:rsidP="00477F96">
      <w:pPr>
        <w:spacing w:after="0" w:line="240" w:lineRule="auto"/>
        <w:rPr>
          <w:rFonts w:ascii="Times New Roman" w:hAnsi="Times New Roman" w:cs="Times New Roman"/>
          <w:b/>
          <w:bCs/>
          <w:sz w:val="28"/>
          <w:szCs w:val="28"/>
        </w:rPr>
      </w:pPr>
    </w:p>
    <w:p w:rsidR="00CD4514" w:rsidRDefault="00CD4514" w:rsidP="00477F96">
      <w:pPr>
        <w:spacing w:after="0" w:line="240" w:lineRule="auto"/>
        <w:jc w:val="center"/>
        <w:rPr>
          <w:rFonts w:ascii="Times New Roman" w:hAnsi="Times New Roman" w:cs="Times New Roman"/>
          <w:sz w:val="24"/>
          <w:szCs w:val="24"/>
          <w:lang w:val="en-US"/>
        </w:rPr>
      </w:pPr>
      <w:r w:rsidRPr="00906302">
        <w:rPr>
          <w:rFonts w:ascii="Times New Roman" w:hAnsi="Times New Roman" w:cs="Times New Roman"/>
          <w:sz w:val="24"/>
          <w:szCs w:val="24"/>
          <w:lang w:val="en-US"/>
        </w:rPr>
        <w:t>Chapter Three</w:t>
      </w:r>
    </w:p>
    <w:p w:rsidR="008D0B75" w:rsidRPr="00906302" w:rsidRDefault="008D0B75" w:rsidP="00477F96">
      <w:pPr>
        <w:spacing w:after="0" w:line="240" w:lineRule="auto"/>
        <w:jc w:val="center"/>
        <w:rPr>
          <w:rFonts w:ascii="Times New Roman" w:hAnsi="Times New Roman" w:cs="Times New Roman"/>
          <w:sz w:val="24"/>
          <w:szCs w:val="24"/>
          <w:lang w:val="en-US"/>
        </w:rPr>
      </w:pPr>
    </w:p>
    <w:p w:rsidR="00CD4514" w:rsidRDefault="00CD4514" w:rsidP="00906302">
      <w:pPr>
        <w:spacing w:after="0" w:line="240" w:lineRule="auto"/>
        <w:jc w:val="center"/>
        <w:rPr>
          <w:rFonts w:ascii="Times New Roman" w:hAnsi="Times New Roman" w:cs="Times New Roman"/>
          <w:b/>
          <w:bCs/>
          <w:sz w:val="28"/>
          <w:szCs w:val="28"/>
          <w:lang w:val="en-US"/>
        </w:rPr>
      </w:pPr>
      <w:r w:rsidRPr="00906302">
        <w:rPr>
          <w:rFonts w:ascii="Times New Roman" w:hAnsi="Times New Roman" w:cs="Times New Roman"/>
          <w:b/>
          <w:bCs/>
          <w:sz w:val="28"/>
          <w:szCs w:val="28"/>
          <w:lang w:val="en-US"/>
        </w:rPr>
        <w:t>Financial Sector</w:t>
      </w:r>
      <w:r w:rsidR="00906302">
        <w:rPr>
          <w:rFonts w:ascii="Times New Roman" w:hAnsi="Times New Roman" w:cs="Times New Roman"/>
          <w:b/>
          <w:bCs/>
          <w:sz w:val="28"/>
          <w:szCs w:val="28"/>
          <w:lang w:val="en-US"/>
        </w:rPr>
        <w:t xml:space="preserve"> </w:t>
      </w:r>
      <w:r w:rsidRPr="00906302">
        <w:rPr>
          <w:rFonts w:ascii="Times New Roman" w:hAnsi="Times New Roman" w:cs="Times New Roman"/>
          <w:b/>
          <w:bCs/>
          <w:sz w:val="28"/>
          <w:szCs w:val="28"/>
          <w:lang w:val="en-US"/>
        </w:rPr>
        <w:t>2018</w:t>
      </w:r>
    </w:p>
    <w:p w:rsidR="008D0B75" w:rsidRPr="00906302" w:rsidRDefault="008D0B75" w:rsidP="00906302">
      <w:pPr>
        <w:spacing w:after="0" w:line="240" w:lineRule="auto"/>
        <w:jc w:val="center"/>
        <w:rPr>
          <w:rFonts w:ascii="Times New Roman" w:hAnsi="Times New Roman" w:cs="Times New Roman"/>
          <w:b/>
          <w:bCs/>
          <w:sz w:val="28"/>
          <w:szCs w:val="28"/>
          <w:lang w:val="en-US"/>
        </w:rPr>
      </w:pPr>
    </w:p>
    <w:p w:rsidR="00CD4514" w:rsidRPr="00477F96" w:rsidRDefault="00CD4514" w:rsidP="00477F96">
      <w:pPr>
        <w:spacing w:after="0" w:line="240" w:lineRule="auto"/>
        <w:jc w:val="center"/>
        <w:rPr>
          <w:rFonts w:ascii="Times New Roman" w:hAnsi="Times New Roman" w:cs="Times New Roman"/>
          <w:b/>
          <w:bCs/>
          <w:sz w:val="28"/>
          <w:szCs w:val="28"/>
          <w:lang w:val="en-US"/>
        </w:rPr>
      </w:pPr>
      <w:r w:rsidRPr="00477F96">
        <w:rPr>
          <w:rFonts w:ascii="Times New Roman" w:hAnsi="Times New Roman" w:cs="Times New Roman"/>
          <w:b/>
          <w:bCs/>
          <w:noProof/>
          <w:sz w:val="28"/>
          <w:szCs w:val="28"/>
        </w:rPr>
        <w:drawing>
          <wp:inline distT="0" distB="0" distL="0" distR="0">
            <wp:extent cx="6045200" cy="3825875"/>
            <wp:effectExtent l="0" t="0" r="0" b="3175"/>
            <wp:docPr id="33"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p w:rsidR="00CD4514" w:rsidRPr="00477F96" w:rsidRDefault="00CD4514" w:rsidP="00477F96">
      <w:pPr>
        <w:spacing w:after="0" w:line="240" w:lineRule="auto"/>
        <w:jc w:val="center"/>
        <w:rPr>
          <w:rFonts w:ascii="Times New Roman" w:hAnsi="Times New Roman" w:cs="Times New Roman"/>
          <w:b/>
          <w:bCs/>
          <w:sz w:val="28"/>
          <w:szCs w:val="28"/>
          <w:lang w:val="en-US"/>
        </w:rPr>
      </w:pPr>
    </w:p>
    <w:p w:rsidR="00CD4514" w:rsidRPr="00477F96" w:rsidRDefault="00CD4514" w:rsidP="00477F96">
      <w:pPr>
        <w:spacing w:after="0" w:line="240" w:lineRule="auto"/>
        <w:jc w:val="center"/>
        <w:rPr>
          <w:rFonts w:ascii="Times New Roman" w:hAnsi="Times New Roman" w:cs="Times New Roman"/>
          <w:b/>
          <w:bCs/>
          <w:sz w:val="28"/>
          <w:szCs w:val="28"/>
          <w:lang w:val="en-US"/>
        </w:rPr>
      </w:pPr>
      <w:r w:rsidRPr="00477F96">
        <w:rPr>
          <w:rFonts w:ascii="Times New Roman" w:hAnsi="Times New Roman" w:cs="Times New Roman"/>
          <w:b/>
          <w:bCs/>
          <w:noProof/>
          <w:sz w:val="28"/>
          <w:szCs w:val="28"/>
        </w:rPr>
        <w:drawing>
          <wp:inline distT="0" distB="0" distL="0" distR="0">
            <wp:extent cx="5486400" cy="2286000"/>
            <wp:effectExtent l="0" t="0" r="0" b="0"/>
            <wp:docPr id="7" name="Diagram 3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r w:rsidRPr="00477F96">
        <w:rPr>
          <w:rFonts w:ascii="Times New Roman" w:hAnsi="Times New Roman" w:cs="Times New Roman"/>
          <w:b/>
          <w:bCs/>
          <w:sz w:val="28"/>
          <w:szCs w:val="28"/>
          <w:lang w:val="en-US"/>
        </w:rPr>
        <w:br w:type="page"/>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sz w:val="24"/>
          <w:szCs w:val="24"/>
        </w:rPr>
        <w:lastRenderedPageBreak/>
        <w:t>An effective and diversified financial system is essential to economic growth. Economic growth depends on the production of goods and services, which must grow over time. The financial sector is considered to be one of the main sectors of the Palestinian economy for its contribution to the GDP as well as to the employment of manpower. It is also considered an intermediary that facilitates the provision of capital for investment projects that support economic development.</w:t>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sz w:val="24"/>
          <w:szCs w:val="24"/>
        </w:rPr>
        <w:t>The financial sector is one of the sensitive sectors of the political situation, and therefore political stability helps attract investments from abroad. This supports economic growth and stimulates domestic production. The financial intermediation activity in Palestine has increased significantly in recent years.</w:t>
      </w:r>
    </w:p>
    <w:p w:rsidR="00CD4514" w:rsidRPr="00477F96" w:rsidRDefault="00CD4514" w:rsidP="00477F96">
      <w:pPr>
        <w:tabs>
          <w:tab w:val="left" w:pos="1193"/>
          <w:tab w:val="left" w:pos="1470"/>
          <w:tab w:val="left" w:pos="1530"/>
          <w:tab w:val="left" w:pos="1967"/>
        </w:tabs>
        <w:spacing w:after="0" w:line="240" w:lineRule="auto"/>
        <w:rPr>
          <w:rFonts w:ascii="Times New Roman" w:hAnsi="Times New Roman" w:cs="Times New Roman"/>
          <w:sz w:val="28"/>
          <w:szCs w:val="28"/>
        </w:rPr>
      </w:pPr>
      <w:r w:rsidRPr="00477F96">
        <w:rPr>
          <w:rFonts w:ascii="Times New Roman" w:hAnsi="Times New Roman" w:cs="Times New Roman"/>
          <w:sz w:val="28"/>
          <w:szCs w:val="28"/>
        </w:rPr>
        <w:tab/>
      </w:r>
      <w:r w:rsidRPr="00477F96">
        <w:rPr>
          <w:rFonts w:ascii="Times New Roman" w:hAnsi="Times New Roman" w:cs="Times New Roman"/>
          <w:sz w:val="28"/>
          <w:szCs w:val="28"/>
        </w:rPr>
        <w:tab/>
      </w:r>
      <w:r w:rsidRPr="00477F96">
        <w:rPr>
          <w:rFonts w:ascii="Times New Roman" w:hAnsi="Times New Roman" w:cs="Times New Roman"/>
          <w:sz w:val="36"/>
          <w:szCs w:val="36"/>
        </w:rPr>
        <w:tab/>
      </w:r>
      <w:r w:rsidRPr="00477F96">
        <w:rPr>
          <w:rFonts w:ascii="Times New Roman" w:hAnsi="Times New Roman" w:cs="Times New Roman"/>
          <w:sz w:val="28"/>
          <w:szCs w:val="28"/>
        </w:rPr>
        <w:tab/>
      </w:r>
    </w:p>
    <w:p w:rsidR="00CD4514" w:rsidRPr="00297841" w:rsidRDefault="00CD4514" w:rsidP="00477F96">
      <w:pPr>
        <w:spacing w:after="0" w:line="240" w:lineRule="auto"/>
        <w:jc w:val="center"/>
        <w:rPr>
          <w:rFonts w:ascii="Arial" w:hAnsi="Arial" w:cs="Arial"/>
          <w:b/>
          <w:bCs/>
        </w:rPr>
      </w:pPr>
      <w:r w:rsidRPr="00297841">
        <w:rPr>
          <w:rFonts w:ascii="Arial" w:hAnsi="Arial" w:cs="Arial"/>
          <w:b/>
          <w:bCs/>
        </w:rPr>
        <w:t>Table 10: Main indicators of ban</w:t>
      </w:r>
      <w:r w:rsidR="00EF105D">
        <w:rPr>
          <w:rFonts w:ascii="Arial" w:hAnsi="Arial" w:cs="Arial"/>
          <w:b/>
          <w:bCs/>
        </w:rPr>
        <w:t>king sector in Palestine, 2013-</w:t>
      </w:r>
      <w:r w:rsidRPr="00297841">
        <w:rPr>
          <w:rFonts w:ascii="Arial" w:hAnsi="Arial" w:cs="Arial"/>
          <w:b/>
          <w:bCs/>
        </w:rPr>
        <w:t>2018</w:t>
      </w:r>
    </w:p>
    <w:p w:rsidR="00CD4514" w:rsidRPr="00477F96" w:rsidRDefault="00CD4514" w:rsidP="00477F96">
      <w:pPr>
        <w:spacing w:after="0" w:line="240" w:lineRule="auto"/>
        <w:jc w:val="center"/>
        <w:rPr>
          <w:rFonts w:ascii="Times New Roman" w:hAnsi="Times New Roman" w:cs="Times New Roman"/>
          <w:b/>
          <w:bCs/>
          <w:sz w:val="10"/>
          <w:szCs w:val="10"/>
        </w:rPr>
      </w:pPr>
    </w:p>
    <w:p w:rsidR="00CD4514" w:rsidRPr="008A63DE" w:rsidRDefault="00CD4514" w:rsidP="00477F96">
      <w:pPr>
        <w:spacing w:after="0" w:line="240" w:lineRule="auto"/>
        <w:jc w:val="both"/>
        <w:rPr>
          <w:rFonts w:ascii="Arial" w:hAnsi="Arial" w:cs="Arial"/>
          <w:sz w:val="18"/>
          <w:szCs w:val="18"/>
        </w:rPr>
      </w:pPr>
      <w:r w:rsidRPr="008A63DE">
        <w:rPr>
          <w:rFonts w:ascii="Arial" w:hAnsi="Arial" w:cs="Arial"/>
          <w:sz w:val="18"/>
          <w:szCs w:val="18"/>
        </w:rPr>
        <w:t>Value in USD million</w:t>
      </w:r>
    </w:p>
    <w:tbl>
      <w:tblPr>
        <w:tblStyle w:val="TableGrid"/>
        <w:tblW w:w="9072" w:type="dxa"/>
        <w:jc w:val="center"/>
        <w:tblLayout w:type="fixed"/>
        <w:tblLook w:val="04A0"/>
      </w:tblPr>
      <w:tblGrid>
        <w:gridCol w:w="3826"/>
        <w:gridCol w:w="874"/>
        <w:gridCol w:w="874"/>
        <w:gridCol w:w="875"/>
        <w:gridCol w:w="875"/>
        <w:gridCol w:w="875"/>
        <w:gridCol w:w="873"/>
      </w:tblGrid>
      <w:tr w:rsidR="00CD4514" w:rsidRPr="008A63DE" w:rsidTr="00297841">
        <w:trPr>
          <w:trHeight w:val="340"/>
          <w:jc w:val="center"/>
        </w:trPr>
        <w:tc>
          <w:tcPr>
            <w:tcW w:w="2109" w:type="pct"/>
            <w:tcBorders>
              <w:top w:val="single" w:sz="12" w:space="0" w:color="auto"/>
              <w:left w:val="nil"/>
              <w:bottom w:val="single" w:sz="12" w:space="0" w:color="auto"/>
              <w:right w:val="nil"/>
            </w:tcBorders>
            <w:vAlign w:val="center"/>
          </w:tcPr>
          <w:p w:rsidR="00CD4514" w:rsidRPr="009F0F85" w:rsidRDefault="00CD4514" w:rsidP="00477F96">
            <w:pPr>
              <w:pStyle w:val="Footer"/>
              <w:tabs>
                <w:tab w:val="clear" w:pos="4153"/>
                <w:tab w:val="clear" w:pos="8306"/>
              </w:tabs>
              <w:jc w:val="center"/>
              <w:rPr>
                <w:rFonts w:ascii="Arial" w:hAnsi="Arial" w:cs="Arial"/>
                <w:b/>
                <w:bCs/>
                <w:sz w:val="16"/>
                <w:szCs w:val="16"/>
              </w:rPr>
            </w:pPr>
            <w:r w:rsidRPr="009F0F85">
              <w:rPr>
                <w:rFonts w:ascii="Arial" w:hAnsi="Arial" w:cs="Arial"/>
                <w:b/>
                <w:bCs/>
                <w:sz w:val="16"/>
                <w:szCs w:val="16"/>
              </w:rPr>
              <w:t>Indicator</w:t>
            </w:r>
          </w:p>
        </w:tc>
        <w:tc>
          <w:tcPr>
            <w:tcW w:w="482" w:type="pct"/>
            <w:tcBorders>
              <w:top w:val="single" w:sz="12" w:space="0" w:color="auto"/>
              <w:left w:val="nil"/>
              <w:bottom w:val="single" w:sz="12" w:space="0" w:color="auto"/>
              <w:right w:val="nil"/>
            </w:tcBorders>
            <w:vAlign w:val="center"/>
          </w:tcPr>
          <w:p w:rsidR="00CD4514" w:rsidRPr="009F0F85" w:rsidRDefault="00CD4514" w:rsidP="00477F96">
            <w:pPr>
              <w:jc w:val="center"/>
              <w:rPr>
                <w:rFonts w:ascii="Arial" w:hAnsi="Arial" w:cs="Arial"/>
                <w:b/>
                <w:bCs/>
                <w:sz w:val="16"/>
                <w:szCs w:val="16"/>
              </w:rPr>
            </w:pPr>
            <w:r w:rsidRPr="009F0F85">
              <w:rPr>
                <w:rFonts w:ascii="Arial" w:hAnsi="Arial" w:cs="Arial"/>
                <w:b/>
                <w:bCs/>
                <w:sz w:val="16"/>
                <w:szCs w:val="16"/>
              </w:rPr>
              <w:t>2013</w:t>
            </w:r>
          </w:p>
        </w:tc>
        <w:tc>
          <w:tcPr>
            <w:tcW w:w="482" w:type="pct"/>
            <w:tcBorders>
              <w:top w:val="single" w:sz="12" w:space="0" w:color="auto"/>
              <w:left w:val="nil"/>
              <w:bottom w:val="single" w:sz="12" w:space="0" w:color="auto"/>
              <w:right w:val="nil"/>
            </w:tcBorders>
            <w:vAlign w:val="center"/>
          </w:tcPr>
          <w:p w:rsidR="00CD4514" w:rsidRPr="009F0F85" w:rsidRDefault="00CD4514" w:rsidP="00477F96">
            <w:pPr>
              <w:jc w:val="center"/>
              <w:rPr>
                <w:rFonts w:ascii="Arial" w:hAnsi="Arial" w:cs="Arial"/>
                <w:b/>
                <w:bCs/>
                <w:sz w:val="16"/>
                <w:szCs w:val="16"/>
              </w:rPr>
            </w:pPr>
            <w:r w:rsidRPr="009F0F85">
              <w:rPr>
                <w:rFonts w:ascii="Arial" w:hAnsi="Arial" w:cs="Arial"/>
                <w:b/>
                <w:bCs/>
                <w:sz w:val="16"/>
                <w:szCs w:val="16"/>
              </w:rPr>
              <w:t>2014</w:t>
            </w:r>
          </w:p>
        </w:tc>
        <w:tc>
          <w:tcPr>
            <w:tcW w:w="482" w:type="pct"/>
            <w:tcBorders>
              <w:top w:val="single" w:sz="12" w:space="0" w:color="auto"/>
              <w:left w:val="nil"/>
              <w:bottom w:val="single" w:sz="12" w:space="0" w:color="auto"/>
              <w:right w:val="nil"/>
            </w:tcBorders>
            <w:vAlign w:val="center"/>
          </w:tcPr>
          <w:p w:rsidR="00CD4514" w:rsidRPr="009F0F85" w:rsidRDefault="00CD4514" w:rsidP="00477F96">
            <w:pPr>
              <w:jc w:val="center"/>
              <w:rPr>
                <w:rFonts w:ascii="Arial" w:hAnsi="Arial" w:cs="Arial"/>
                <w:b/>
                <w:bCs/>
                <w:sz w:val="16"/>
                <w:szCs w:val="16"/>
              </w:rPr>
            </w:pPr>
            <w:r w:rsidRPr="009F0F85">
              <w:rPr>
                <w:rFonts w:ascii="Arial" w:hAnsi="Arial" w:cs="Arial"/>
                <w:b/>
                <w:bCs/>
                <w:sz w:val="16"/>
                <w:szCs w:val="16"/>
              </w:rPr>
              <w:t>2015</w:t>
            </w:r>
          </w:p>
        </w:tc>
        <w:tc>
          <w:tcPr>
            <w:tcW w:w="482" w:type="pct"/>
            <w:tcBorders>
              <w:top w:val="single" w:sz="12" w:space="0" w:color="auto"/>
              <w:left w:val="nil"/>
              <w:bottom w:val="single" w:sz="12" w:space="0" w:color="auto"/>
              <w:right w:val="nil"/>
            </w:tcBorders>
            <w:vAlign w:val="center"/>
          </w:tcPr>
          <w:p w:rsidR="00CD4514" w:rsidRPr="009F0F85" w:rsidRDefault="00CD4514" w:rsidP="00477F96">
            <w:pPr>
              <w:jc w:val="center"/>
              <w:rPr>
                <w:rFonts w:ascii="Arial" w:hAnsi="Arial" w:cs="Arial"/>
                <w:b/>
                <w:bCs/>
                <w:sz w:val="16"/>
                <w:szCs w:val="16"/>
              </w:rPr>
            </w:pPr>
            <w:r w:rsidRPr="009F0F85">
              <w:rPr>
                <w:rFonts w:ascii="Arial" w:hAnsi="Arial" w:cs="Arial"/>
                <w:b/>
                <w:bCs/>
                <w:sz w:val="16"/>
                <w:szCs w:val="16"/>
                <w:rtl/>
              </w:rPr>
              <w:t>2016</w:t>
            </w:r>
          </w:p>
        </w:tc>
        <w:tc>
          <w:tcPr>
            <w:tcW w:w="482" w:type="pct"/>
            <w:tcBorders>
              <w:top w:val="single" w:sz="12" w:space="0" w:color="auto"/>
              <w:left w:val="nil"/>
              <w:bottom w:val="single" w:sz="12" w:space="0" w:color="auto"/>
              <w:right w:val="nil"/>
            </w:tcBorders>
            <w:vAlign w:val="center"/>
          </w:tcPr>
          <w:p w:rsidR="00CD4514" w:rsidRPr="009F0F85" w:rsidRDefault="00CD4514" w:rsidP="00477F96">
            <w:pPr>
              <w:jc w:val="center"/>
              <w:rPr>
                <w:rFonts w:ascii="Arial" w:hAnsi="Arial" w:cs="Arial"/>
                <w:b/>
                <w:bCs/>
                <w:sz w:val="16"/>
                <w:szCs w:val="16"/>
              </w:rPr>
            </w:pPr>
            <w:r w:rsidRPr="009F0F85">
              <w:rPr>
                <w:rFonts w:ascii="Arial" w:hAnsi="Arial" w:cs="Arial"/>
                <w:b/>
                <w:bCs/>
                <w:sz w:val="16"/>
                <w:szCs w:val="16"/>
              </w:rPr>
              <w:t>2017</w:t>
            </w:r>
          </w:p>
        </w:tc>
        <w:tc>
          <w:tcPr>
            <w:tcW w:w="482" w:type="pct"/>
            <w:tcBorders>
              <w:top w:val="single" w:sz="12" w:space="0" w:color="auto"/>
              <w:left w:val="nil"/>
              <w:bottom w:val="single" w:sz="12" w:space="0" w:color="auto"/>
              <w:right w:val="nil"/>
            </w:tcBorders>
            <w:vAlign w:val="center"/>
          </w:tcPr>
          <w:p w:rsidR="00CD4514" w:rsidRPr="009F0F85" w:rsidRDefault="00CD4514" w:rsidP="00477F96">
            <w:pPr>
              <w:jc w:val="center"/>
              <w:rPr>
                <w:rFonts w:ascii="Arial" w:hAnsi="Arial" w:cs="Arial"/>
                <w:b/>
                <w:bCs/>
                <w:sz w:val="16"/>
                <w:szCs w:val="16"/>
              </w:rPr>
            </w:pPr>
            <w:r w:rsidRPr="009F0F85">
              <w:rPr>
                <w:rFonts w:ascii="Arial" w:hAnsi="Arial" w:cs="Arial"/>
                <w:b/>
                <w:bCs/>
                <w:sz w:val="16"/>
                <w:szCs w:val="16"/>
              </w:rPr>
              <w:t>2018</w:t>
            </w:r>
          </w:p>
        </w:tc>
      </w:tr>
      <w:tr w:rsidR="00CD4514" w:rsidRPr="008A63DE" w:rsidTr="00297841">
        <w:trPr>
          <w:trHeight w:val="340"/>
          <w:jc w:val="center"/>
        </w:trPr>
        <w:tc>
          <w:tcPr>
            <w:tcW w:w="2109" w:type="pct"/>
            <w:tcBorders>
              <w:top w:val="single" w:sz="12" w:space="0" w:color="auto"/>
              <w:left w:val="nil"/>
              <w:bottom w:val="nil"/>
              <w:right w:val="nil"/>
            </w:tcBorders>
            <w:vAlign w:val="center"/>
          </w:tcPr>
          <w:p w:rsidR="00CD4514" w:rsidRPr="009F0F85" w:rsidRDefault="00CD4514" w:rsidP="00477F96">
            <w:pPr>
              <w:rPr>
                <w:rStyle w:val="hps"/>
                <w:rFonts w:ascii="Arial" w:hAnsi="Arial" w:cs="Arial"/>
                <w:b/>
                <w:bCs/>
                <w:sz w:val="16"/>
                <w:szCs w:val="16"/>
              </w:rPr>
            </w:pPr>
            <w:r w:rsidRPr="009F0F85">
              <w:rPr>
                <w:rStyle w:val="hps"/>
                <w:rFonts w:ascii="Arial" w:hAnsi="Arial" w:cs="Arial"/>
                <w:b/>
                <w:bCs/>
                <w:sz w:val="16"/>
                <w:szCs w:val="16"/>
              </w:rPr>
              <w:t>Total credit facilities</w:t>
            </w:r>
          </w:p>
        </w:tc>
        <w:tc>
          <w:tcPr>
            <w:tcW w:w="482" w:type="pct"/>
            <w:tcBorders>
              <w:top w:val="single" w:sz="12" w:space="0" w:color="auto"/>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4,480.1</w:t>
            </w:r>
          </w:p>
        </w:tc>
        <w:tc>
          <w:tcPr>
            <w:tcW w:w="482" w:type="pct"/>
            <w:tcBorders>
              <w:top w:val="single" w:sz="12" w:space="0" w:color="auto"/>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4,895.1</w:t>
            </w:r>
          </w:p>
        </w:tc>
        <w:tc>
          <w:tcPr>
            <w:tcW w:w="482" w:type="pct"/>
            <w:tcBorders>
              <w:top w:val="single" w:sz="12" w:space="0" w:color="auto"/>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5,824.7</w:t>
            </w:r>
          </w:p>
        </w:tc>
        <w:tc>
          <w:tcPr>
            <w:tcW w:w="482" w:type="pct"/>
            <w:tcBorders>
              <w:top w:val="single" w:sz="12" w:space="0" w:color="auto"/>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6,871.9</w:t>
            </w:r>
          </w:p>
        </w:tc>
        <w:tc>
          <w:tcPr>
            <w:tcW w:w="482" w:type="pct"/>
            <w:tcBorders>
              <w:top w:val="single" w:sz="12" w:space="0" w:color="auto"/>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8,026.0</w:t>
            </w:r>
          </w:p>
        </w:tc>
        <w:tc>
          <w:tcPr>
            <w:tcW w:w="482" w:type="pct"/>
            <w:tcBorders>
              <w:top w:val="single" w:sz="12" w:space="0" w:color="auto"/>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8,437.9</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sz w:val="16"/>
                <w:szCs w:val="16"/>
              </w:rPr>
            </w:pPr>
            <w:r w:rsidRPr="009F0F85">
              <w:rPr>
                <w:rStyle w:val="hps"/>
                <w:rFonts w:ascii="Arial" w:hAnsi="Arial" w:cs="Arial"/>
                <w:sz w:val="16"/>
                <w:szCs w:val="16"/>
              </w:rPr>
              <w:t xml:space="preserve"> - Credit provided to the public sector</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1,373.7</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1,239.8</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1,456.0</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1,418.9</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1,476.0</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1,315.7</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sz w:val="16"/>
                <w:szCs w:val="16"/>
              </w:rPr>
            </w:pPr>
            <w:r w:rsidRPr="009F0F85">
              <w:rPr>
                <w:rStyle w:val="hps"/>
                <w:rFonts w:ascii="Arial" w:hAnsi="Arial" w:cs="Arial"/>
                <w:sz w:val="16"/>
                <w:szCs w:val="16"/>
              </w:rPr>
              <w:t xml:space="preserve"> - Credit provided to finance consumption loans</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885.6</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921.7</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1,088.4</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1,366.3</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1,399.2</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1,326.6</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sz w:val="16"/>
                <w:szCs w:val="16"/>
                <w:lang w:val="en-US"/>
              </w:rPr>
            </w:pPr>
            <w:r w:rsidRPr="009F0F85">
              <w:rPr>
                <w:rStyle w:val="hps"/>
                <w:rFonts w:ascii="Arial" w:hAnsi="Arial" w:cs="Arial"/>
                <w:sz w:val="16"/>
                <w:szCs w:val="16"/>
              </w:rPr>
              <w:t xml:space="preserve"> - Credit provided to finance cars and vehicles</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130.5</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165.1</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200.7</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229.3</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292.9</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302.3</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sz w:val="16"/>
                <w:szCs w:val="16"/>
                <w:lang w:val="en-US"/>
              </w:rPr>
            </w:pPr>
            <w:r w:rsidRPr="009F0F85">
              <w:rPr>
                <w:rStyle w:val="hps"/>
                <w:rFonts w:ascii="Arial" w:hAnsi="Arial" w:cs="Arial"/>
                <w:sz w:val="16"/>
                <w:szCs w:val="16"/>
              </w:rPr>
              <w:t xml:space="preserve"> - Credit provided to finance other sectors</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2,090.3</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tl/>
              </w:rPr>
            </w:pPr>
            <w:r w:rsidRPr="009F0F85">
              <w:rPr>
                <w:rFonts w:ascii="Arial" w:hAnsi="Arial" w:cs="Arial"/>
                <w:sz w:val="16"/>
                <w:szCs w:val="16"/>
                <w:rtl/>
              </w:rPr>
              <w:t>2,568.5</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3,079.6</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3,857.4</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4,857.9</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5,493.3</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b/>
                <w:bCs/>
                <w:sz w:val="16"/>
                <w:szCs w:val="16"/>
              </w:rPr>
            </w:pPr>
            <w:r w:rsidRPr="009F0F85">
              <w:rPr>
                <w:rStyle w:val="hps"/>
                <w:rFonts w:ascii="Arial" w:hAnsi="Arial" w:cs="Arial"/>
                <w:b/>
                <w:bCs/>
                <w:sz w:val="16"/>
                <w:szCs w:val="16"/>
              </w:rPr>
              <w:t>Total deposits</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8,303.7</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8,934.5</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9,654.2</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10,604.7</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11,982.5</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12,227.3</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sz w:val="16"/>
                <w:szCs w:val="16"/>
              </w:rPr>
            </w:pPr>
            <w:r w:rsidRPr="009F0F85">
              <w:rPr>
                <w:rStyle w:val="hps"/>
                <w:rFonts w:ascii="Arial" w:hAnsi="Arial" w:cs="Arial"/>
                <w:sz w:val="16"/>
                <w:szCs w:val="16"/>
              </w:rPr>
              <w:t xml:space="preserve"> - Deposits of resident individuals</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5,798.5</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6,174.3</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6,475.6</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7,038.5</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8,035.3</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8,720.3</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sz w:val="16"/>
                <w:szCs w:val="16"/>
              </w:rPr>
            </w:pPr>
            <w:r w:rsidRPr="009F0F85">
              <w:rPr>
                <w:rStyle w:val="hps"/>
                <w:rFonts w:ascii="Arial" w:hAnsi="Arial" w:cs="Arial"/>
                <w:sz w:val="16"/>
                <w:szCs w:val="16"/>
              </w:rPr>
              <w:t xml:space="preserve"> - Deposits of Palestinian Central Government</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531.3</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612.3</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487.6</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525.2</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599.1</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Pr>
              <w:t>464.2</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sz w:val="16"/>
                <w:szCs w:val="16"/>
              </w:rPr>
            </w:pPr>
            <w:r w:rsidRPr="009F0F85">
              <w:rPr>
                <w:rStyle w:val="hps"/>
                <w:rFonts w:ascii="Arial" w:hAnsi="Arial" w:cs="Arial"/>
                <w:sz w:val="16"/>
                <w:szCs w:val="16"/>
              </w:rPr>
              <w:t xml:space="preserve"> - Deposits of other parties</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1,973.9</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2,147.9</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2,691.0</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3,041.0</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3,348.1</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sz w:val="16"/>
                <w:szCs w:val="16"/>
              </w:rPr>
            </w:pPr>
            <w:r w:rsidRPr="009F0F85">
              <w:rPr>
                <w:rFonts w:ascii="Arial" w:hAnsi="Arial" w:cs="Arial"/>
                <w:sz w:val="16"/>
                <w:szCs w:val="16"/>
                <w:rtl/>
              </w:rPr>
              <w:t>3,042.8</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b/>
                <w:bCs/>
                <w:sz w:val="16"/>
                <w:szCs w:val="16"/>
              </w:rPr>
            </w:pPr>
            <w:r w:rsidRPr="009F0F85">
              <w:rPr>
                <w:rStyle w:val="hps"/>
                <w:rFonts w:ascii="Arial" w:hAnsi="Arial" w:cs="Arial"/>
                <w:b/>
                <w:bCs/>
                <w:sz w:val="16"/>
                <w:szCs w:val="16"/>
              </w:rPr>
              <w:t xml:space="preserve"> Interest rate on USD loans </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6.44</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6.05</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5.92</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5.87</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5.79</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tl/>
              </w:rPr>
              <w:t>5.87</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b/>
                <w:bCs/>
                <w:sz w:val="16"/>
                <w:szCs w:val="16"/>
              </w:rPr>
            </w:pPr>
            <w:r w:rsidRPr="009F0F85">
              <w:rPr>
                <w:rStyle w:val="hps"/>
                <w:rFonts w:ascii="Arial" w:hAnsi="Arial" w:cs="Arial"/>
                <w:b/>
                <w:bCs/>
                <w:sz w:val="16"/>
                <w:szCs w:val="16"/>
              </w:rPr>
              <w:t xml:space="preserve"> Interest rate on USD deposits </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0.62</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0.83</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0.94</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1.01</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1.39</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tl/>
              </w:rPr>
              <w:t>2.27</w:t>
            </w:r>
          </w:p>
        </w:tc>
      </w:tr>
      <w:tr w:rsidR="00CD4514" w:rsidRPr="008A63DE" w:rsidTr="00297841">
        <w:trPr>
          <w:trHeight w:val="340"/>
          <w:jc w:val="center"/>
        </w:trPr>
        <w:tc>
          <w:tcPr>
            <w:tcW w:w="2109" w:type="pct"/>
            <w:tcBorders>
              <w:top w:val="nil"/>
              <w:left w:val="nil"/>
              <w:bottom w:val="nil"/>
              <w:right w:val="nil"/>
            </w:tcBorders>
            <w:vAlign w:val="center"/>
          </w:tcPr>
          <w:p w:rsidR="00CD4514" w:rsidRPr="009F0F85" w:rsidRDefault="00CD4514" w:rsidP="00477F96">
            <w:pPr>
              <w:rPr>
                <w:rStyle w:val="hps"/>
                <w:rFonts w:ascii="Arial" w:hAnsi="Arial" w:cs="Arial"/>
                <w:b/>
                <w:bCs/>
                <w:sz w:val="16"/>
                <w:szCs w:val="16"/>
              </w:rPr>
            </w:pPr>
            <w:r w:rsidRPr="009F0F85">
              <w:rPr>
                <w:rStyle w:val="hps"/>
                <w:rFonts w:ascii="Arial" w:hAnsi="Arial" w:cs="Arial"/>
                <w:b/>
                <w:bCs/>
                <w:sz w:val="16"/>
                <w:szCs w:val="16"/>
              </w:rPr>
              <w:t>Cheques Presented for Clearing</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10,567.0</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11,117.8</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11,131.4</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12,691.5</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15,072.8</w:t>
            </w:r>
          </w:p>
        </w:tc>
        <w:tc>
          <w:tcPr>
            <w:tcW w:w="482" w:type="pct"/>
            <w:tcBorders>
              <w:top w:val="nil"/>
              <w:left w:val="nil"/>
              <w:bottom w:val="nil"/>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12,730.0</w:t>
            </w:r>
          </w:p>
        </w:tc>
      </w:tr>
      <w:tr w:rsidR="00CD4514" w:rsidRPr="008A63DE" w:rsidTr="00297841">
        <w:trPr>
          <w:trHeight w:val="340"/>
          <w:jc w:val="center"/>
        </w:trPr>
        <w:tc>
          <w:tcPr>
            <w:tcW w:w="2109" w:type="pct"/>
            <w:tcBorders>
              <w:top w:val="nil"/>
              <w:left w:val="nil"/>
              <w:bottom w:val="single" w:sz="12" w:space="0" w:color="auto"/>
              <w:right w:val="nil"/>
            </w:tcBorders>
            <w:vAlign w:val="center"/>
          </w:tcPr>
          <w:p w:rsidR="00CD4514" w:rsidRPr="009F0F85" w:rsidRDefault="00CD4514" w:rsidP="00477F96">
            <w:pPr>
              <w:rPr>
                <w:rStyle w:val="hps"/>
                <w:rFonts w:ascii="Arial" w:hAnsi="Arial" w:cs="Arial"/>
                <w:b/>
                <w:bCs/>
                <w:sz w:val="16"/>
                <w:szCs w:val="16"/>
              </w:rPr>
            </w:pPr>
            <w:r w:rsidRPr="009F0F85">
              <w:rPr>
                <w:rStyle w:val="hps"/>
                <w:rFonts w:ascii="Arial" w:hAnsi="Arial" w:cs="Arial"/>
                <w:b/>
                <w:bCs/>
                <w:sz w:val="16"/>
                <w:szCs w:val="16"/>
              </w:rPr>
              <w:t>Bounced Cheques</w:t>
            </w:r>
          </w:p>
        </w:tc>
        <w:tc>
          <w:tcPr>
            <w:tcW w:w="482" w:type="pct"/>
            <w:tcBorders>
              <w:top w:val="nil"/>
              <w:left w:val="nil"/>
              <w:bottom w:val="single" w:sz="12" w:space="0" w:color="auto"/>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659.1</w:t>
            </w:r>
          </w:p>
        </w:tc>
        <w:tc>
          <w:tcPr>
            <w:tcW w:w="482" w:type="pct"/>
            <w:tcBorders>
              <w:top w:val="nil"/>
              <w:left w:val="nil"/>
              <w:bottom w:val="single" w:sz="12" w:space="0" w:color="auto"/>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664.8</w:t>
            </w:r>
          </w:p>
        </w:tc>
        <w:tc>
          <w:tcPr>
            <w:tcW w:w="482" w:type="pct"/>
            <w:tcBorders>
              <w:top w:val="nil"/>
              <w:left w:val="nil"/>
              <w:bottom w:val="single" w:sz="12" w:space="0" w:color="auto"/>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670.3</w:t>
            </w:r>
          </w:p>
        </w:tc>
        <w:tc>
          <w:tcPr>
            <w:tcW w:w="482" w:type="pct"/>
            <w:tcBorders>
              <w:top w:val="nil"/>
              <w:left w:val="nil"/>
              <w:bottom w:val="single" w:sz="12" w:space="0" w:color="auto"/>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831.5</w:t>
            </w:r>
          </w:p>
        </w:tc>
        <w:tc>
          <w:tcPr>
            <w:tcW w:w="482" w:type="pct"/>
            <w:tcBorders>
              <w:top w:val="nil"/>
              <w:left w:val="nil"/>
              <w:bottom w:val="single" w:sz="12" w:space="0" w:color="auto"/>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1,154.2</w:t>
            </w:r>
          </w:p>
        </w:tc>
        <w:tc>
          <w:tcPr>
            <w:tcW w:w="482" w:type="pct"/>
            <w:tcBorders>
              <w:top w:val="nil"/>
              <w:left w:val="nil"/>
              <w:bottom w:val="single" w:sz="12" w:space="0" w:color="auto"/>
              <w:right w:val="nil"/>
            </w:tcBorders>
            <w:vAlign w:val="center"/>
          </w:tcPr>
          <w:p w:rsidR="00CD4514" w:rsidRPr="009F0F85" w:rsidRDefault="00CD4514" w:rsidP="00477F96">
            <w:pPr>
              <w:jc w:val="right"/>
              <w:rPr>
                <w:rFonts w:ascii="Arial" w:hAnsi="Arial" w:cs="Arial"/>
                <w:b/>
                <w:bCs/>
                <w:sz w:val="16"/>
                <w:szCs w:val="16"/>
              </w:rPr>
            </w:pPr>
            <w:r w:rsidRPr="009F0F85">
              <w:rPr>
                <w:rFonts w:ascii="Arial" w:hAnsi="Arial" w:cs="Arial"/>
                <w:b/>
                <w:bCs/>
                <w:sz w:val="16"/>
                <w:szCs w:val="16"/>
              </w:rPr>
              <w:t>1,125.5</w:t>
            </w:r>
          </w:p>
        </w:tc>
      </w:tr>
    </w:tbl>
    <w:p w:rsidR="00CD4514" w:rsidRPr="00477F96" w:rsidRDefault="00CD4514" w:rsidP="00477F96">
      <w:pPr>
        <w:tabs>
          <w:tab w:val="left" w:pos="3731"/>
          <w:tab w:val="center" w:pos="4535"/>
        </w:tabs>
        <w:spacing w:after="0" w:line="240" w:lineRule="auto"/>
        <w:jc w:val="both"/>
        <w:rPr>
          <w:rFonts w:ascii="Times New Roman" w:hAnsi="Times New Roman" w:cs="Times New Roman"/>
          <w:sz w:val="24"/>
          <w:szCs w:val="24"/>
        </w:rPr>
      </w:pPr>
    </w:p>
    <w:p w:rsidR="00A024C2" w:rsidRDefault="00297841" w:rsidP="00A024C2">
      <w:pPr>
        <w:tabs>
          <w:tab w:val="left" w:pos="3731"/>
          <w:tab w:val="center" w:pos="4535"/>
        </w:tabs>
        <w:spacing w:after="0" w:line="240" w:lineRule="auto"/>
        <w:rPr>
          <w:rFonts w:ascii="Times New Roman" w:hAnsi="Times New Roman" w:cs="Times New Roman"/>
          <w:b/>
          <w:bCs/>
          <w:sz w:val="24"/>
          <w:szCs w:val="24"/>
        </w:rPr>
      </w:pPr>
      <w:r w:rsidRPr="00A024C2">
        <w:rPr>
          <w:rFonts w:ascii="Times New Roman" w:hAnsi="Times New Roman" w:cs="Times New Roman"/>
          <w:b/>
          <w:bCs/>
          <w:sz w:val="24"/>
          <w:szCs w:val="24"/>
        </w:rPr>
        <w:t xml:space="preserve">3.1 </w:t>
      </w:r>
      <w:r w:rsidR="00CD4514" w:rsidRPr="00A024C2">
        <w:rPr>
          <w:rFonts w:ascii="Times New Roman" w:hAnsi="Times New Roman" w:cs="Times New Roman"/>
          <w:b/>
          <w:bCs/>
          <w:sz w:val="24"/>
          <w:szCs w:val="24"/>
        </w:rPr>
        <w:t>Deposits</w:t>
      </w:r>
    </w:p>
    <w:p w:rsidR="00CD4514" w:rsidRPr="00A024C2" w:rsidRDefault="00CD4514" w:rsidP="00A024C2">
      <w:pPr>
        <w:tabs>
          <w:tab w:val="left" w:pos="3731"/>
          <w:tab w:val="center" w:pos="4535"/>
        </w:tabs>
        <w:spacing w:after="0" w:line="240" w:lineRule="auto"/>
        <w:jc w:val="both"/>
        <w:rPr>
          <w:rFonts w:ascii="Times New Roman" w:hAnsi="Times New Roman" w:cs="Times New Roman"/>
          <w:b/>
          <w:bCs/>
          <w:sz w:val="24"/>
          <w:szCs w:val="24"/>
          <w:rtl/>
          <w:lang w:val="en-US"/>
        </w:rPr>
      </w:pPr>
      <w:r w:rsidRPr="00477F96">
        <w:rPr>
          <w:rFonts w:ascii="Times New Roman" w:hAnsi="Times New Roman" w:cs="Times New Roman"/>
          <w:b/>
          <w:bCs/>
          <w:sz w:val="24"/>
          <w:szCs w:val="24"/>
        </w:rPr>
        <w:t xml:space="preserve">The value of total deposits in banking sector during </w:t>
      </w:r>
      <w:r w:rsidRPr="00477F96">
        <w:rPr>
          <w:rFonts w:ascii="Times New Roman" w:hAnsi="Times New Roman" w:cs="Times New Roman"/>
          <w:b/>
          <w:bCs/>
          <w:sz w:val="24"/>
          <w:szCs w:val="24"/>
          <w:rtl/>
        </w:rPr>
        <w:t>2018</w:t>
      </w:r>
      <w:r w:rsidRPr="00477F96">
        <w:rPr>
          <w:rFonts w:ascii="Times New Roman" w:hAnsi="Times New Roman" w:cs="Times New Roman"/>
          <w:b/>
          <w:bCs/>
          <w:sz w:val="24"/>
          <w:szCs w:val="24"/>
        </w:rPr>
        <w:t xml:space="preserve"> recorded an increase by </w:t>
      </w:r>
      <w:r w:rsidRPr="00477F96">
        <w:rPr>
          <w:rFonts w:ascii="Times New Roman" w:hAnsi="Times New Roman" w:cs="Times New Roman"/>
          <w:b/>
          <w:bCs/>
          <w:sz w:val="24"/>
          <w:szCs w:val="24"/>
          <w:rtl/>
        </w:rPr>
        <w:t>2.0</w:t>
      </w:r>
      <w:r w:rsidRPr="00477F96">
        <w:rPr>
          <w:rFonts w:ascii="Times New Roman" w:hAnsi="Times New Roman" w:cs="Times New Roman"/>
          <w:b/>
          <w:bCs/>
          <w:sz w:val="24"/>
          <w:szCs w:val="24"/>
        </w:rPr>
        <w:t xml:space="preserve">% compared to </w:t>
      </w:r>
      <w:r w:rsidRPr="00477F96">
        <w:rPr>
          <w:rFonts w:ascii="Times New Roman" w:hAnsi="Times New Roman" w:cs="Times New Roman"/>
          <w:b/>
          <w:bCs/>
          <w:sz w:val="24"/>
          <w:szCs w:val="24"/>
          <w:rtl/>
        </w:rPr>
        <w:t>2017</w:t>
      </w:r>
      <w:r w:rsidRPr="00477F96">
        <w:rPr>
          <w:rFonts w:ascii="Times New Roman" w:hAnsi="Times New Roman" w:cs="Times New Roman"/>
          <w:b/>
          <w:bCs/>
          <w:sz w:val="24"/>
          <w:szCs w:val="24"/>
        </w:rPr>
        <w:t xml:space="preserve"> and reached USD 12,227.3 million.  </w:t>
      </w:r>
      <w:r w:rsidRPr="00477F96">
        <w:rPr>
          <w:rFonts w:ascii="Times New Roman" w:hAnsi="Times New Roman" w:cs="Times New Roman"/>
          <w:sz w:val="24"/>
          <w:szCs w:val="24"/>
        </w:rPr>
        <w:t xml:space="preserve">The value of deposits of resident individuals was USD 8,720.3 million, which accounted for 71.3% of the total value of deposits in 2018, with an increase by 8.5% compared to 2017. While deposits of the Palestinian Central Government reached USD </w:t>
      </w:r>
      <w:r w:rsidRPr="00477F96">
        <w:rPr>
          <w:rFonts w:ascii="Times New Roman" w:hAnsi="Times New Roman" w:cs="Times New Roman"/>
          <w:sz w:val="24"/>
          <w:szCs w:val="24"/>
          <w:rtl/>
        </w:rPr>
        <w:t xml:space="preserve">464.2 </w:t>
      </w:r>
      <w:r w:rsidRPr="00477F96">
        <w:rPr>
          <w:rFonts w:ascii="Times New Roman" w:hAnsi="Times New Roman" w:cs="Times New Roman"/>
          <w:sz w:val="24"/>
          <w:szCs w:val="24"/>
        </w:rPr>
        <w:t xml:space="preserve"> million, representing 3.8% of the total value of deposits. (See figure follow).</w:t>
      </w:r>
    </w:p>
    <w:p w:rsidR="00CD4514" w:rsidRPr="00477F96" w:rsidRDefault="00CD4514" w:rsidP="00477F96">
      <w:pPr>
        <w:tabs>
          <w:tab w:val="left" w:pos="5220"/>
        </w:tabs>
        <w:spacing w:after="0" w:line="240" w:lineRule="auto"/>
        <w:jc w:val="both"/>
        <w:rPr>
          <w:rFonts w:ascii="Times New Roman" w:hAnsi="Times New Roman" w:cs="Times New Roman"/>
          <w:sz w:val="24"/>
          <w:szCs w:val="24"/>
          <w:lang w:val="en-US"/>
        </w:rPr>
      </w:pPr>
      <w:r w:rsidRPr="00477F96">
        <w:rPr>
          <w:rFonts w:ascii="Times New Roman" w:hAnsi="Times New Roman" w:cs="Times New Roman"/>
          <w:sz w:val="24"/>
          <w:szCs w:val="24"/>
          <w:lang w:val="en-US"/>
        </w:rPr>
        <w:tab/>
      </w:r>
    </w:p>
    <w:p w:rsidR="00CD4514" w:rsidRPr="00477F96" w:rsidRDefault="00CD4514" w:rsidP="00477F96">
      <w:pPr>
        <w:tabs>
          <w:tab w:val="left" w:pos="5220"/>
        </w:tabs>
        <w:spacing w:after="0" w:line="240" w:lineRule="auto"/>
        <w:jc w:val="both"/>
        <w:rPr>
          <w:rFonts w:ascii="Times New Roman" w:hAnsi="Times New Roman" w:cs="Times New Roman"/>
          <w:sz w:val="24"/>
          <w:szCs w:val="24"/>
          <w:lang w:val="en-US"/>
        </w:rPr>
      </w:pPr>
    </w:p>
    <w:p w:rsidR="00CD4514" w:rsidRPr="00477F96" w:rsidRDefault="00CD4514" w:rsidP="00477F96">
      <w:pPr>
        <w:tabs>
          <w:tab w:val="left" w:pos="5220"/>
        </w:tabs>
        <w:spacing w:after="0" w:line="240" w:lineRule="auto"/>
        <w:jc w:val="both"/>
        <w:rPr>
          <w:rFonts w:ascii="Times New Roman" w:hAnsi="Times New Roman" w:cs="Times New Roman"/>
          <w:sz w:val="24"/>
          <w:szCs w:val="24"/>
          <w:lang w:val="en-US"/>
        </w:rPr>
      </w:pPr>
    </w:p>
    <w:p w:rsidR="00CD4514" w:rsidRPr="00477F96" w:rsidRDefault="00CD4514" w:rsidP="00477F96">
      <w:pPr>
        <w:tabs>
          <w:tab w:val="left" w:pos="5220"/>
        </w:tabs>
        <w:spacing w:after="0" w:line="240" w:lineRule="auto"/>
        <w:jc w:val="both"/>
        <w:rPr>
          <w:rFonts w:ascii="Times New Roman" w:hAnsi="Times New Roman" w:cs="Times New Roman"/>
          <w:sz w:val="24"/>
          <w:szCs w:val="24"/>
          <w:lang w:val="en-US"/>
        </w:rPr>
      </w:pPr>
    </w:p>
    <w:p w:rsidR="00CD4514" w:rsidRDefault="00CD4514" w:rsidP="00477F96">
      <w:pPr>
        <w:tabs>
          <w:tab w:val="left" w:pos="5220"/>
        </w:tabs>
        <w:spacing w:after="0" w:line="240" w:lineRule="auto"/>
        <w:jc w:val="both"/>
        <w:rPr>
          <w:rFonts w:ascii="Times New Roman" w:hAnsi="Times New Roman" w:cs="Times New Roman"/>
          <w:sz w:val="24"/>
          <w:szCs w:val="24"/>
          <w:lang w:val="en-US"/>
        </w:rPr>
      </w:pPr>
    </w:p>
    <w:p w:rsidR="00A024C2" w:rsidRPr="00477F96" w:rsidRDefault="00A024C2" w:rsidP="00477F96">
      <w:pPr>
        <w:tabs>
          <w:tab w:val="left" w:pos="5220"/>
        </w:tabs>
        <w:spacing w:after="0" w:line="240" w:lineRule="auto"/>
        <w:jc w:val="both"/>
        <w:rPr>
          <w:rFonts w:ascii="Times New Roman" w:hAnsi="Times New Roman" w:cs="Times New Roman"/>
          <w:sz w:val="24"/>
          <w:szCs w:val="24"/>
          <w:lang w:val="en-US"/>
        </w:rPr>
      </w:pPr>
    </w:p>
    <w:p w:rsidR="00CD4514" w:rsidRPr="00477F96" w:rsidRDefault="00CD4514" w:rsidP="00477F96">
      <w:pPr>
        <w:tabs>
          <w:tab w:val="left" w:pos="5220"/>
        </w:tabs>
        <w:spacing w:after="0" w:line="240" w:lineRule="auto"/>
        <w:jc w:val="both"/>
        <w:rPr>
          <w:rFonts w:ascii="Times New Roman" w:hAnsi="Times New Roman" w:cs="Times New Roman"/>
          <w:sz w:val="24"/>
          <w:szCs w:val="24"/>
          <w:rtl/>
          <w:lang w:val="en-US"/>
        </w:rPr>
      </w:pPr>
    </w:p>
    <w:p w:rsidR="00CD4514" w:rsidRPr="00477F96" w:rsidRDefault="00CD4514" w:rsidP="00477F96">
      <w:pPr>
        <w:tabs>
          <w:tab w:val="left" w:pos="5220"/>
        </w:tabs>
        <w:spacing w:after="0" w:line="240" w:lineRule="auto"/>
        <w:jc w:val="both"/>
        <w:rPr>
          <w:rFonts w:ascii="Times New Roman" w:hAnsi="Times New Roman" w:cs="Times New Roman"/>
          <w:sz w:val="24"/>
          <w:szCs w:val="24"/>
          <w:lang w:val="en-US"/>
        </w:rPr>
      </w:pPr>
    </w:p>
    <w:p w:rsidR="00CD4514" w:rsidRPr="00477F96" w:rsidRDefault="00CD4514" w:rsidP="00477F96">
      <w:pPr>
        <w:tabs>
          <w:tab w:val="left" w:pos="5220"/>
        </w:tabs>
        <w:spacing w:after="0" w:line="240" w:lineRule="auto"/>
        <w:jc w:val="both"/>
        <w:rPr>
          <w:rFonts w:ascii="Times New Roman" w:hAnsi="Times New Roman" w:cs="Times New Roman"/>
          <w:sz w:val="24"/>
          <w:szCs w:val="24"/>
          <w:lang w:val="en-US"/>
        </w:rPr>
      </w:pPr>
    </w:p>
    <w:p w:rsidR="008A63DE" w:rsidRDefault="008A63DE">
      <w:pPr>
        <w:rPr>
          <w:rFonts w:ascii="Arial" w:hAnsi="Arial" w:cs="Arial"/>
          <w:b/>
          <w:bCs/>
        </w:rPr>
      </w:pPr>
      <w:r>
        <w:rPr>
          <w:rFonts w:ascii="Arial" w:hAnsi="Arial" w:cs="Arial"/>
          <w:b/>
          <w:bCs/>
        </w:rPr>
        <w:br w:type="page"/>
      </w:r>
    </w:p>
    <w:p w:rsidR="00CD4514" w:rsidRPr="00297841" w:rsidRDefault="00CD4514" w:rsidP="00477F96">
      <w:pPr>
        <w:tabs>
          <w:tab w:val="left" w:pos="3731"/>
          <w:tab w:val="center" w:pos="4535"/>
        </w:tabs>
        <w:spacing w:after="0" w:line="240" w:lineRule="auto"/>
        <w:jc w:val="center"/>
        <w:rPr>
          <w:rFonts w:ascii="Arial" w:hAnsi="Arial" w:cs="Arial"/>
          <w:b/>
          <w:bCs/>
        </w:rPr>
      </w:pPr>
      <w:r w:rsidRPr="00297841">
        <w:rPr>
          <w:rFonts w:ascii="Arial" w:hAnsi="Arial" w:cs="Arial"/>
          <w:b/>
          <w:bCs/>
        </w:rPr>
        <w:lastRenderedPageBreak/>
        <w:t>Distribution of customer deposits by depositing party in Palestine, 2013-2018</w:t>
      </w:r>
    </w:p>
    <w:tbl>
      <w:tblPr>
        <w:tblStyle w:val="TableGrid"/>
        <w:tblW w:w="0" w:type="auto"/>
        <w:jc w:val="center"/>
        <w:tblLook w:val="04A0"/>
      </w:tblPr>
      <w:tblGrid>
        <w:gridCol w:w="9107"/>
      </w:tblGrid>
      <w:tr w:rsidR="00CD4514" w:rsidRPr="00477F96" w:rsidTr="00114BB8">
        <w:trPr>
          <w:jc w:val="center"/>
        </w:trPr>
        <w:tc>
          <w:tcPr>
            <w:tcW w:w="8823" w:type="dxa"/>
          </w:tcPr>
          <w:p w:rsidR="00CD4514" w:rsidRPr="00477F96" w:rsidRDefault="00CD4514" w:rsidP="00477F96">
            <w:pPr>
              <w:tabs>
                <w:tab w:val="left" w:pos="3731"/>
                <w:tab w:val="center" w:pos="4535"/>
              </w:tabs>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626376" cy="2576222"/>
                  <wp:effectExtent l="19050" t="0" r="0" b="0"/>
                  <wp:docPr id="3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tc>
      </w:tr>
    </w:tbl>
    <w:p w:rsidR="00CD4514" w:rsidRPr="00477F96" w:rsidRDefault="00CD4514" w:rsidP="00477F96">
      <w:pPr>
        <w:tabs>
          <w:tab w:val="left" w:pos="3163"/>
        </w:tabs>
        <w:spacing w:after="0" w:line="240" w:lineRule="auto"/>
        <w:jc w:val="both"/>
        <w:rPr>
          <w:rFonts w:ascii="Times New Roman" w:hAnsi="Times New Roman" w:cs="Times New Roman"/>
          <w:b/>
          <w:bCs/>
          <w:sz w:val="28"/>
          <w:szCs w:val="28"/>
        </w:rPr>
      </w:pPr>
    </w:p>
    <w:p w:rsidR="00FE2233" w:rsidRPr="00A024C2" w:rsidRDefault="00297841" w:rsidP="00477F96">
      <w:pPr>
        <w:tabs>
          <w:tab w:val="left" w:pos="3163"/>
        </w:tabs>
        <w:spacing w:after="0" w:line="240" w:lineRule="auto"/>
        <w:jc w:val="both"/>
        <w:rPr>
          <w:rFonts w:ascii="Times New Roman" w:hAnsi="Times New Roman" w:cs="Times New Roman"/>
          <w:b/>
          <w:bCs/>
          <w:sz w:val="24"/>
          <w:szCs w:val="24"/>
        </w:rPr>
      </w:pPr>
      <w:r w:rsidRPr="00A024C2">
        <w:rPr>
          <w:rFonts w:ascii="Times New Roman" w:hAnsi="Times New Roman" w:cs="Times New Roman"/>
          <w:b/>
          <w:bCs/>
          <w:sz w:val="24"/>
          <w:szCs w:val="24"/>
        </w:rPr>
        <w:t xml:space="preserve">3.2 </w:t>
      </w:r>
      <w:r w:rsidR="00CD4514" w:rsidRPr="00A024C2">
        <w:rPr>
          <w:rFonts w:ascii="Times New Roman" w:hAnsi="Times New Roman" w:cs="Times New Roman"/>
          <w:b/>
          <w:bCs/>
          <w:sz w:val="24"/>
          <w:szCs w:val="24"/>
        </w:rPr>
        <w:t>Credit Facilities</w:t>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value of total credit facilities, provided by the banking sector, stood at USD 8,437.9 million, showing an increase by 5.1% compared to 2017.</w:t>
      </w:r>
      <w:r w:rsidRPr="00477F96">
        <w:rPr>
          <w:rFonts w:ascii="Times New Roman" w:hAnsi="Times New Roman" w:cs="Times New Roman"/>
          <w:sz w:val="24"/>
          <w:szCs w:val="24"/>
        </w:rPr>
        <w:t xml:space="preserve">  The credit facilities provided to the public sector amounted to USD 1,315.7 million, representing 15.6% of the total value of the credit facilities provided by banking sector in 2018, which indicates a decrease by 10.9% compared to 2017.  The value of the facilities provided to finance consumption loans was USD 1,326.6 million, constituting 15.7% of the total value of credit facilities, while the value of the facilities offered to finance cars and vehicles was USD 302.3</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million, accounting for 3.6% of the total value of the credit facilities. (See figure below).</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297841" w:rsidRDefault="00CD4514" w:rsidP="00477F96">
      <w:pPr>
        <w:spacing w:after="0" w:line="240" w:lineRule="auto"/>
        <w:jc w:val="center"/>
        <w:rPr>
          <w:rFonts w:ascii="Arial" w:hAnsi="Arial" w:cs="Arial"/>
          <w:b/>
          <w:bCs/>
        </w:rPr>
      </w:pPr>
      <w:r w:rsidRPr="00297841">
        <w:rPr>
          <w:rFonts w:ascii="Arial" w:hAnsi="Arial" w:cs="Arial"/>
          <w:b/>
          <w:bCs/>
        </w:rPr>
        <w:t xml:space="preserve">Distribution of </w:t>
      </w:r>
      <w:r w:rsidR="00DA4E1B">
        <w:rPr>
          <w:rFonts w:ascii="Arial" w:hAnsi="Arial" w:cs="Arial"/>
          <w:b/>
          <w:bCs/>
        </w:rPr>
        <w:t xml:space="preserve">credit </w:t>
      </w:r>
      <w:r w:rsidRPr="00297841">
        <w:rPr>
          <w:rFonts w:ascii="Arial" w:hAnsi="Arial" w:cs="Arial"/>
          <w:b/>
          <w:bCs/>
        </w:rPr>
        <w:t>facilities by economic sector in Palestine, 2018</w:t>
      </w:r>
    </w:p>
    <w:tbl>
      <w:tblPr>
        <w:tblStyle w:val="TableGrid"/>
        <w:tblW w:w="0" w:type="auto"/>
        <w:tblInd w:w="108" w:type="dxa"/>
        <w:tblLook w:val="04A0"/>
      </w:tblPr>
      <w:tblGrid>
        <w:gridCol w:w="9107"/>
      </w:tblGrid>
      <w:tr w:rsidR="00CD4514" w:rsidRPr="00477F96" w:rsidTr="00297841">
        <w:tc>
          <w:tcPr>
            <w:tcW w:w="9107" w:type="dxa"/>
          </w:tcPr>
          <w:p w:rsidR="00CD4514" w:rsidRPr="00477F96" w:rsidRDefault="00CD4514" w:rsidP="00477F96">
            <w:pPr>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626376" cy="2631881"/>
                  <wp:effectExtent l="19050" t="0" r="0" b="0"/>
                  <wp:docPr id="39"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c>
      </w:tr>
    </w:tbl>
    <w:p w:rsidR="00CD4514" w:rsidRPr="00114BB8" w:rsidRDefault="00CD4514" w:rsidP="00477F96">
      <w:pPr>
        <w:spacing w:after="0" w:line="240" w:lineRule="auto"/>
        <w:jc w:val="center"/>
        <w:rPr>
          <w:rFonts w:ascii="Times New Roman" w:hAnsi="Times New Roman" w:cs="Times New Roman"/>
          <w:b/>
          <w:bCs/>
          <w:sz w:val="28"/>
          <w:szCs w:val="28"/>
        </w:rPr>
      </w:pPr>
    </w:p>
    <w:p w:rsidR="00CD4514" w:rsidRPr="00A024C2" w:rsidRDefault="00560E46" w:rsidP="00477F96">
      <w:pPr>
        <w:spacing w:after="0" w:line="240" w:lineRule="auto"/>
        <w:jc w:val="both"/>
        <w:rPr>
          <w:rStyle w:val="hps"/>
          <w:rFonts w:ascii="Times New Roman" w:hAnsi="Times New Roman" w:cs="Times New Roman"/>
          <w:b/>
          <w:bCs/>
          <w:sz w:val="24"/>
          <w:szCs w:val="24"/>
          <w:rtl/>
        </w:rPr>
      </w:pPr>
      <w:r w:rsidRPr="00A024C2">
        <w:rPr>
          <w:rStyle w:val="hps"/>
          <w:rFonts w:ascii="Times New Roman" w:hAnsi="Times New Roman" w:cs="Times New Roman"/>
          <w:b/>
          <w:bCs/>
          <w:sz w:val="24"/>
          <w:szCs w:val="24"/>
        </w:rPr>
        <w:t xml:space="preserve">3.3 </w:t>
      </w:r>
      <w:r w:rsidR="00CD4514" w:rsidRPr="00A024C2">
        <w:rPr>
          <w:rStyle w:val="hps"/>
          <w:rFonts w:ascii="Times New Roman" w:hAnsi="Times New Roman" w:cs="Times New Roman"/>
          <w:b/>
          <w:bCs/>
          <w:sz w:val="24"/>
          <w:szCs w:val="24"/>
        </w:rPr>
        <w:t>Cheques</w:t>
      </w:r>
    </w:p>
    <w:p w:rsidR="00CD4514" w:rsidRPr="00477F96" w:rsidRDefault="00CD4514" w:rsidP="00477F96">
      <w:pPr>
        <w:spacing w:after="0" w:line="240" w:lineRule="auto"/>
        <w:jc w:val="both"/>
        <w:rPr>
          <w:rFonts w:ascii="Times New Roman" w:hAnsi="Times New Roman" w:cs="Times New Roman"/>
          <w:b/>
          <w:bCs/>
          <w:sz w:val="24"/>
          <w:szCs w:val="24"/>
        </w:rPr>
      </w:pPr>
      <w:r w:rsidRPr="00477F96">
        <w:rPr>
          <w:rFonts w:ascii="Times New Roman" w:hAnsi="Times New Roman" w:cs="Times New Roman"/>
          <w:b/>
          <w:bCs/>
          <w:sz w:val="24"/>
          <w:szCs w:val="24"/>
        </w:rPr>
        <w:t>The value of the cheques presented for clearing amounted to USD 12,730.0 million in 2018, with decrease by 15.5% compared to 2017, while the bounced cheques amounted to USD 1,125.5 million, with a decline by 2.5% compared to 2017.</w:t>
      </w:r>
    </w:p>
    <w:p w:rsidR="00CD4514" w:rsidRPr="00477F96" w:rsidRDefault="00CD4514" w:rsidP="00477F96">
      <w:pPr>
        <w:spacing w:after="0" w:line="240" w:lineRule="auto"/>
        <w:jc w:val="both"/>
        <w:rPr>
          <w:rFonts w:ascii="Times New Roman" w:hAnsi="Times New Roman" w:cs="Times New Roman"/>
          <w:sz w:val="24"/>
          <w:szCs w:val="24"/>
        </w:rPr>
      </w:pPr>
    </w:p>
    <w:p w:rsidR="00114BB8" w:rsidRDefault="00114BB8">
      <w:pPr>
        <w:rPr>
          <w:rFonts w:ascii="Arial" w:hAnsi="Arial" w:cs="Arial"/>
          <w:b/>
          <w:bCs/>
        </w:rPr>
      </w:pPr>
      <w:r>
        <w:rPr>
          <w:rFonts w:ascii="Arial" w:hAnsi="Arial" w:cs="Arial"/>
          <w:b/>
          <w:bCs/>
        </w:rPr>
        <w:br w:type="page"/>
      </w:r>
    </w:p>
    <w:p w:rsidR="00CD4514" w:rsidRPr="003915C1" w:rsidRDefault="00CD4514" w:rsidP="00477F96">
      <w:pPr>
        <w:spacing w:after="0" w:line="240" w:lineRule="auto"/>
        <w:jc w:val="center"/>
        <w:rPr>
          <w:rFonts w:ascii="Arial" w:hAnsi="Arial" w:cs="Arial"/>
          <w:b/>
          <w:bCs/>
        </w:rPr>
      </w:pPr>
      <w:r w:rsidRPr="003915C1">
        <w:rPr>
          <w:rFonts w:ascii="Arial" w:hAnsi="Arial" w:cs="Arial"/>
          <w:b/>
          <w:bCs/>
        </w:rPr>
        <w:lastRenderedPageBreak/>
        <w:t>Banks clearing of the all currencies in Palestine, 2013-2018</w:t>
      </w:r>
    </w:p>
    <w:tbl>
      <w:tblPr>
        <w:tblStyle w:val="TableGrid"/>
        <w:tblW w:w="0" w:type="auto"/>
        <w:tblInd w:w="108" w:type="dxa"/>
        <w:tblLayout w:type="fixed"/>
        <w:tblLook w:val="04A0"/>
      </w:tblPr>
      <w:tblGrid>
        <w:gridCol w:w="9072"/>
      </w:tblGrid>
      <w:tr w:rsidR="00CD4514" w:rsidRPr="00477F96" w:rsidTr="003915C1">
        <w:tc>
          <w:tcPr>
            <w:tcW w:w="9072" w:type="dxa"/>
          </w:tcPr>
          <w:p w:rsidR="00CD4514" w:rsidRPr="00477F96" w:rsidRDefault="00CD4514" w:rsidP="00477F96">
            <w:pPr>
              <w:jc w:val="center"/>
              <w:rPr>
                <w:rFonts w:ascii="Times New Roman" w:hAnsi="Times New Roman" w:cs="Times New Roman"/>
                <w:b/>
                <w:bCs/>
                <w:lang w:val="en-US"/>
              </w:rPr>
            </w:pPr>
            <w:r w:rsidRPr="00477F96">
              <w:rPr>
                <w:rFonts w:ascii="Times New Roman" w:hAnsi="Times New Roman" w:cs="Times New Roman"/>
                <w:b/>
                <w:bCs/>
                <w:noProof/>
              </w:rPr>
              <w:drawing>
                <wp:inline distT="0" distB="0" distL="0" distR="0">
                  <wp:extent cx="5634328" cy="2687541"/>
                  <wp:effectExtent l="19050" t="0" r="4472" b="0"/>
                  <wp:docPr id="52"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tc>
      </w:tr>
    </w:tbl>
    <w:p w:rsidR="00CD4514" w:rsidRPr="00114BB8" w:rsidRDefault="00CD4514" w:rsidP="00477F96">
      <w:pPr>
        <w:spacing w:after="0" w:line="240" w:lineRule="auto"/>
        <w:jc w:val="both"/>
        <w:rPr>
          <w:rFonts w:ascii="Times New Roman" w:hAnsi="Times New Roman" w:cs="Times New Roman"/>
          <w:sz w:val="28"/>
          <w:szCs w:val="28"/>
        </w:rPr>
      </w:pPr>
    </w:p>
    <w:p w:rsidR="00CD4514" w:rsidRPr="00855205" w:rsidRDefault="00640311" w:rsidP="00477F96">
      <w:pPr>
        <w:spacing w:after="0" w:line="240" w:lineRule="auto"/>
        <w:jc w:val="both"/>
        <w:rPr>
          <w:rFonts w:ascii="Times New Roman" w:hAnsi="Times New Roman" w:cs="Times New Roman"/>
          <w:b/>
          <w:bCs/>
          <w:sz w:val="24"/>
          <w:szCs w:val="24"/>
        </w:rPr>
      </w:pPr>
      <w:r w:rsidRPr="00855205">
        <w:rPr>
          <w:rFonts w:ascii="Times New Roman" w:hAnsi="Times New Roman" w:cs="Times New Roman"/>
          <w:b/>
          <w:bCs/>
          <w:sz w:val="24"/>
          <w:szCs w:val="24"/>
        </w:rPr>
        <w:t xml:space="preserve">3.4 </w:t>
      </w:r>
      <w:r w:rsidR="00CD4514" w:rsidRPr="00855205">
        <w:rPr>
          <w:rFonts w:ascii="Times New Roman" w:hAnsi="Times New Roman" w:cs="Times New Roman"/>
          <w:b/>
          <w:bCs/>
          <w:sz w:val="24"/>
          <w:szCs w:val="24"/>
        </w:rPr>
        <w:t>Interest Rate</w:t>
      </w:r>
    </w:p>
    <w:p w:rsidR="00CD4514" w:rsidRPr="00477F96" w:rsidRDefault="00CD4514" w:rsidP="00477F96">
      <w:pPr>
        <w:spacing w:after="0" w:line="240" w:lineRule="auto"/>
        <w:jc w:val="both"/>
        <w:rPr>
          <w:rFonts w:ascii="Times New Roman" w:hAnsi="Times New Roman" w:cs="Times New Roman"/>
          <w:b/>
          <w:bCs/>
          <w:sz w:val="24"/>
          <w:szCs w:val="24"/>
        </w:rPr>
      </w:pPr>
      <w:r w:rsidRPr="00477F96">
        <w:rPr>
          <w:rFonts w:ascii="Times New Roman" w:hAnsi="Times New Roman" w:cs="Times New Roman"/>
          <w:b/>
          <w:bCs/>
          <w:sz w:val="24"/>
          <w:szCs w:val="24"/>
        </w:rPr>
        <w:t>The interest rate on loans to the USD price recorded an increase during the year 2018, reaching 5.87%</w:t>
      </w:r>
      <w:r w:rsidRPr="00477F96">
        <w:rPr>
          <w:rFonts w:ascii="Times New Roman" w:hAnsi="Times New Roman" w:cs="Times New Roman"/>
          <w:b/>
          <w:bCs/>
          <w:sz w:val="24"/>
          <w:szCs w:val="24"/>
          <w:lang w:val="en-US"/>
        </w:rPr>
        <w:t xml:space="preserve"> after it was 5.79% during 2017</w:t>
      </w:r>
      <w:r w:rsidRPr="00477F96">
        <w:rPr>
          <w:rFonts w:ascii="Times New Roman" w:hAnsi="Times New Roman" w:cs="Times New Roman"/>
          <w:b/>
          <w:bCs/>
          <w:sz w:val="24"/>
          <w:szCs w:val="24"/>
        </w:rPr>
        <w:t>, and the interest rate on USD deposits increased up to 2.27% after it was 1.39% during 2017.</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tl/>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Default="00CD4514" w:rsidP="00477F96">
      <w:pPr>
        <w:spacing w:after="0" w:line="240" w:lineRule="auto"/>
        <w:jc w:val="both"/>
        <w:rPr>
          <w:rFonts w:ascii="Times New Roman" w:hAnsi="Times New Roman" w:cs="Times New Roman"/>
          <w:sz w:val="24"/>
          <w:szCs w:val="24"/>
        </w:rPr>
      </w:pPr>
    </w:p>
    <w:p w:rsidR="00855205" w:rsidRDefault="00855205" w:rsidP="00477F96">
      <w:pPr>
        <w:spacing w:after="0" w:line="240" w:lineRule="auto"/>
        <w:jc w:val="both"/>
        <w:rPr>
          <w:rFonts w:ascii="Times New Roman" w:hAnsi="Times New Roman" w:cs="Times New Roman"/>
          <w:sz w:val="24"/>
          <w:szCs w:val="24"/>
        </w:rPr>
      </w:pPr>
    </w:p>
    <w:p w:rsidR="00855205" w:rsidRPr="00477F96" w:rsidRDefault="00855205"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Default="00CD4514" w:rsidP="00477F96">
      <w:pPr>
        <w:spacing w:after="0" w:line="240" w:lineRule="auto"/>
        <w:jc w:val="both"/>
        <w:rPr>
          <w:rFonts w:ascii="Times New Roman" w:hAnsi="Times New Roman" w:cs="Times New Roman"/>
          <w:sz w:val="24"/>
          <w:szCs w:val="24"/>
        </w:rPr>
      </w:pPr>
    </w:p>
    <w:p w:rsidR="00114BB8" w:rsidRDefault="00114BB8">
      <w:pPr>
        <w:rPr>
          <w:rFonts w:ascii="Times New Roman" w:hAnsi="Times New Roman" w:cs="Times New Roman"/>
          <w:sz w:val="24"/>
          <w:szCs w:val="24"/>
        </w:rPr>
      </w:pPr>
      <w:r>
        <w:rPr>
          <w:rFonts w:ascii="Times New Roman" w:hAnsi="Times New Roman" w:cs="Times New Roman"/>
          <w:sz w:val="24"/>
          <w:szCs w:val="24"/>
        </w:rPr>
        <w:br w:type="page"/>
      </w:r>
    </w:p>
    <w:p w:rsidR="00CD4514" w:rsidRDefault="00CD4514" w:rsidP="00477F96">
      <w:pPr>
        <w:spacing w:after="0" w:line="240" w:lineRule="auto"/>
        <w:jc w:val="center"/>
        <w:rPr>
          <w:rFonts w:ascii="Times New Roman" w:hAnsi="Times New Roman" w:cs="Times New Roman"/>
          <w:sz w:val="24"/>
          <w:szCs w:val="24"/>
        </w:rPr>
      </w:pPr>
      <w:r w:rsidRPr="00BC3ED9">
        <w:rPr>
          <w:rFonts w:ascii="Times New Roman" w:hAnsi="Times New Roman" w:cs="Times New Roman"/>
          <w:sz w:val="24"/>
          <w:szCs w:val="24"/>
        </w:rPr>
        <w:lastRenderedPageBreak/>
        <w:t>Chapter Four</w:t>
      </w:r>
    </w:p>
    <w:p w:rsidR="00BC3ED9" w:rsidRPr="00BC3ED9" w:rsidRDefault="00BC3ED9" w:rsidP="00477F96">
      <w:pPr>
        <w:spacing w:after="0" w:line="240" w:lineRule="auto"/>
        <w:jc w:val="center"/>
        <w:rPr>
          <w:rFonts w:ascii="Times New Roman" w:hAnsi="Times New Roman" w:cs="Times New Roman"/>
          <w:sz w:val="24"/>
          <w:szCs w:val="24"/>
        </w:rPr>
      </w:pPr>
    </w:p>
    <w:p w:rsidR="00BC3ED9" w:rsidRDefault="00CD4514" w:rsidP="00BC3ED9">
      <w:pPr>
        <w:spacing w:after="0" w:line="240" w:lineRule="auto"/>
        <w:jc w:val="center"/>
        <w:rPr>
          <w:rFonts w:ascii="Times New Roman" w:hAnsi="Times New Roman" w:cs="Times New Roman"/>
          <w:b/>
          <w:bCs/>
          <w:sz w:val="28"/>
          <w:szCs w:val="28"/>
        </w:rPr>
      </w:pPr>
      <w:r w:rsidRPr="00BC3ED9">
        <w:rPr>
          <w:rFonts w:ascii="Times New Roman" w:hAnsi="Times New Roman" w:cs="Times New Roman"/>
          <w:b/>
          <w:bCs/>
          <w:sz w:val="28"/>
          <w:szCs w:val="28"/>
        </w:rPr>
        <w:t>External Sector</w:t>
      </w:r>
      <w:r w:rsidR="00BC3ED9" w:rsidRPr="00BC3ED9">
        <w:rPr>
          <w:rFonts w:ascii="Times New Roman" w:hAnsi="Times New Roman" w:cs="Times New Roman"/>
          <w:b/>
          <w:bCs/>
          <w:sz w:val="28"/>
          <w:szCs w:val="28"/>
        </w:rPr>
        <w:t xml:space="preserve"> </w:t>
      </w:r>
      <w:r w:rsidR="00BC3ED9">
        <w:rPr>
          <w:rFonts w:ascii="Times New Roman" w:hAnsi="Times New Roman" w:cs="Times New Roman"/>
          <w:b/>
          <w:bCs/>
          <w:sz w:val="28"/>
          <w:szCs w:val="28"/>
        </w:rPr>
        <w:t>2018</w:t>
      </w:r>
    </w:p>
    <w:p w:rsidR="00BC3ED9" w:rsidRDefault="0069364B" w:rsidP="00BC3ED9">
      <w:pPr>
        <w:spacing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rPr>
        <w:pict>
          <v:roundrect id="_x0000_s1030" style="position:absolute;left:0;text-align:left;margin-left:-5.4pt;margin-top:11.85pt;width:452pt;height:32.8pt;z-index:251660288;mso-position-horizontal-relative:margin" arcsize="10923f" fillcolor="#c0504d [3205]" strokecolor="#f2f2f2 [3041]" strokeweight="3pt">
            <v:shadow on="t" type="perspective" color="#622423 [1605]" opacity=".5" offset="1pt" offset2="-1pt"/>
            <v:textbox style="mso-next-textbox:#_x0000_s1030">
              <w:txbxContent>
                <w:p w:rsidR="00D97CA4" w:rsidRPr="00BC3ED9" w:rsidRDefault="00D97CA4" w:rsidP="00CD4514">
                  <w:pPr>
                    <w:spacing w:line="720" w:lineRule="auto"/>
                    <w:jc w:val="center"/>
                    <w:rPr>
                      <w:rFonts w:ascii="Arial" w:hAnsi="Arial" w:cs="Arial"/>
                      <w:b/>
                      <w:bCs/>
                      <w:color w:val="FFFFFF" w:themeColor="background1"/>
                      <w:sz w:val="24"/>
                      <w:szCs w:val="24"/>
                      <w:rtl/>
                    </w:rPr>
                  </w:pPr>
                  <w:r w:rsidRPr="00BC3ED9">
                    <w:rPr>
                      <w:rFonts w:ascii="Arial" w:hAnsi="Arial" w:cs="Arial"/>
                      <w:b/>
                      <w:bCs/>
                      <w:color w:val="FFFFFF" w:themeColor="background1"/>
                      <w:sz w:val="24"/>
                      <w:szCs w:val="24"/>
                    </w:rPr>
                    <w:t>Balance of Payments</w:t>
                  </w:r>
                </w:p>
              </w:txbxContent>
            </v:textbox>
            <w10:wrap anchorx="margin"/>
          </v:roundrect>
        </w:pict>
      </w:r>
    </w:p>
    <w:p w:rsidR="00CD4514" w:rsidRPr="00BC3ED9" w:rsidRDefault="00CD4514" w:rsidP="00BC3ED9">
      <w:pPr>
        <w:spacing w:after="0" w:line="240" w:lineRule="auto"/>
        <w:jc w:val="center"/>
        <w:rPr>
          <w:rFonts w:ascii="Times New Roman" w:hAnsi="Times New Roman" w:cs="Times New Roman"/>
          <w:b/>
          <w:bCs/>
          <w:sz w:val="28"/>
          <w:szCs w:val="28"/>
          <w:rtl/>
        </w:rPr>
      </w:pPr>
      <w:r w:rsidRPr="00BC3ED9">
        <w:rPr>
          <w:rFonts w:ascii="Times New Roman" w:hAnsi="Times New Roman" w:cs="Times New Roman"/>
          <w:b/>
          <w:bCs/>
          <w:sz w:val="28"/>
          <w:szCs w:val="28"/>
          <w:rtl/>
        </w:rPr>
        <w:t xml:space="preserve"> </w:t>
      </w:r>
    </w:p>
    <w:p w:rsidR="00CD4514" w:rsidRPr="00477F96" w:rsidRDefault="00CD4514" w:rsidP="00477F96">
      <w:pPr>
        <w:tabs>
          <w:tab w:val="left" w:pos="5159"/>
        </w:tabs>
        <w:spacing w:after="0" w:line="240" w:lineRule="auto"/>
        <w:rPr>
          <w:rFonts w:ascii="Times New Roman" w:hAnsi="Times New Roman" w:cs="Times New Roman"/>
          <w:b/>
          <w:bCs/>
          <w:sz w:val="32"/>
          <w:szCs w:val="32"/>
          <w:rtl/>
        </w:rPr>
      </w:pPr>
      <w:r w:rsidRPr="00477F96">
        <w:rPr>
          <w:rFonts w:ascii="Times New Roman" w:hAnsi="Times New Roman" w:cs="Times New Roman"/>
          <w:b/>
          <w:bCs/>
          <w:sz w:val="32"/>
          <w:szCs w:val="32"/>
        </w:rPr>
        <w:tab/>
      </w:r>
    </w:p>
    <w:p w:rsidR="00BC3ED9" w:rsidRDefault="00BC3ED9" w:rsidP="00477F96">
      <w:pPr>
        <w:spacing w:after="0" w:line="240" w:lineRule="auto"/>
        <w:jc w:val="lowKashida"/>
        <w:rPr>
          <w:rFonts w:ascii="Times New Roman" w:hAnsi="Times New Roman" w:cs="Times New Roman"/>
          <w:noProof/>
          <w:sz w:val="18"/>
          <w:szCs w:val="18"/>
        </w:rPr>
      </w:pPr>
    </w:p>
    <w:p w:rsidR="00CD4514" w:rsidRPr="00477F96" w:rsidRDefault="00CD4514" w:rsidP="00477F96">
      <w:pPr>
        <w:spacing w:after="0" w:line="240" w:lineRule="auto"/>
        <w:jc w:val="lowKashida"/>
        <w:rPr>
          <w:rFonts w:ascii="Times New Roman" w:hAnsi="Times New Roman" w:cs="Times New Roman"/>
          <w:sz w:val="18"/>
          <w:szCs w:val="18"/>
          <w:rtl/>
        </w:rPr>
      </w:pPr>
      <w:r w:rsidRPr="00477F96">
        <w:rPr>
          <w:rFonts w:ascii="Times New Roman" w:hAnsi="Times New Roman" w:cs="Times New Roman"/>
          <w:noProof/>
          <w:sz w:val="18"/>
          <w:szCs w:val="18"/>
        </w:rPr>
        <w:drawing>
          <wp:inline distT="0" distB="0" distL="0" distR="0">
            <wp:extent cx="5486400" cy="2324100"/>
            <wp:effectExtent l="0" t="0" r="0" b="0"/>
            <wp:docPr id="4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0" r:lo="rId51" r:qs="rId52" r:cs="rId53"/>
              </a:graphicData>
            </a:graphic>
          </wp:inline>
        </w:drawing>
      </w:r>
    </w:p>
    <w:p w:rsidR="00CD4514" w:rsidRPr="00477F96" w:rsidRDefault="0069364B" w:rsidP="00477F96">
      <w:pPr>
        <w:spacing w:after="0" w:line="240" w:lineRule="auto"/>
        <w:jc w:val="lowKashida"/>
        <w:rPr>
          <w:rFonts w:ascii="Times New Roman" w:hAnsi="Times New Roman" w:cs="Times New Roman"/>
          <w:sz w:val="18"/>
          <w:szCs w:val="18"/>
          <w:rtl/>
        </w:rPr>
      </w:pPr>
      <w:r>
        <w:rPr>
          <w:rFonts w:ascii="Times New Roman" w:hAnsi="Times New Roman" w:cs="Times New Roman"/>
          <w:noProof/>
          <w:sz w:val="18"/>
          <w:szCs w:val="18"/>
          <w:rtl/>
        </w:rPr>
        <w:pict>
          <v:roundrect id="_x0000_s1028" style="position:absolute;left:0;text-align:left;margin-left:-2.9pt;margin-top:2.85pt;width:452pt;height:31.4pt;z-index:251658240" arcsize="10923f" fillcolor="#c0504d [3205]" strokecolor="#f2f2f2 [3041]" strokeweight="3pt">
            <v:shadow on="t" type="perspective" color="#622423 [1605]" opacity=".5" offset="1pt" offset2="-1pt"/>
            <v:textbox>
              <w:txbxContent>
                <w:p w:rsidR="00D97CA4" w:rsidRPr="00BC3ED9" w:rsidRDefault="00D97CA4" w:rsidP="00CD4514">
                  <w:pPr>
                    <w:spacing w:line="720" w:lineRule="auto"/>
                    <w:jc w:val="center"/>
                    <w:rPr>
                      <w:rFonts w:ascii="Arial" w:hAnsi="Arial" w:cs="Arial"/>
                      <w:b/>
                      <w:bCs/>
                      <w:color w:val="FFFFFF" w:themeColor="background1"/>
                      <w:sz w:val="24"/>
                      <w:szCs w:val="24"/>
                    </w:rPr>
                  </w:pPr>
                  <w:r w:rsidRPr="00BC3ED9">
                    <w:rPr>
                      <w:rFonts w:ascii="Arial" w:hAnsi="Arial" w:cs="Arial"/>
                      <w:b/>
                      <w:bCs/>
                      <w:color w:val="FFFFFF" w:themeColor="background1"/>
                      <w:sz w:val="24"/>
                      <w:szCs w:val="24"/>
                    </w:rPr>
                    <w:t xml:space="preserve">International Investment Position </w:t>
                  </w:r>
                </w:p>
              </w:txbxContent>
            </v:textbox>
          </v:roundrect>
        </w:pict>
      </w:r>
    </w:p>
    <w:p w:rsidR="00CD4514" w:rsidRPr="00477F96" w:rsidRDefault="00CD4514" w:rsidP="00477F96">
      <w:pPr>
        <w:spacing w:after="0" w:line="240" w:lineRule="auto"/>
        <w:jc w:val="lowKashida"/>
        <w:rPr>
          <w:rFonts w:ascii="Times New Roman" w:hAnsi="Times New Roman" w:cs="Times New Roman"/>
          <w:sz w:val="10"/>
          <w:szCs w:val="10"/>
        </w:rPr>
      </w:pPr>
    </w:p>
    <w:p w:rsidR="00CD4514" w:rsidRPr="00477F96" w:rsidRDefault="0069364B" w:rsidP="00BC3ED9">
      <w:pPr>
        <w:spacing w:after="0" w:line="240" w:lineRule="auto"/>
        <w:jc w:val="lowKashida"/>
        <w:rPr>
          <w:rFonts w:ascii="Times New Roman" w:hAnsi="Times New Roman" w:cs="Times New Roman"/>
          <w:sz w:val="18"/>
          <w:szCs w:val="18"/>
          <w:rtl/>
        </w:rPr>
      </w:pPr>
      <w:r>
        <w:rPr>
          <w:rFonts w:ascii="Times New Roman" w:hAnsi="Times New Roman" w:cs="Times New Roman"/>
          <w:noProof/>
          <w:sz w:val="18"/>
          <w:szCs w:val="18"/>
          <w:rtl/>
        </w:rPr>
        <w:pict>
          <v:roundrect id="_x0000_s1029" style="position:absolute;left:0;text-align:left;margin-left:-5.4pt;margin-top:131.2pt;width:452pt;height:35.5pt;z-index:251659264" arcsize="10923f" fillcolor="#c0504d [3205]" strokecolor="#f2f2f2 [3041]" strokeweight="3pt">
            <v:shadow on="t" type="perspective" color="#622423 [1605]" opacity=".5" offset="1pt" offset2="-1pt"/>
            <v:textbox>
              <w:txbxContent>
                <w:p w:rsidR="00D97CA4" w:rsidRPr="00BC3ED9" w:rsidRDefault="00D97CA4" w:rsidP="00CD4514">
                  <w:pPr>
                    <w:ind w:right="-170"/>
                    <w:jc w:val="center"/>
                    <w:rPr>
                      <w:rFonts w:ascii="Arial" w:hAnsi="Arial" w:cs="Arial"/>
                      <w:b/>
                      <w:bCs/>
                      <w:color w:val="FFFFFF" w:themeColor="background1"/>
                      <w:sz w:val="24"/>
                      <w:szCs w:val="24"/>
                    </w:rPr>
                  </w:pPr>
                  <w:r w:rsidRPr="00BC3ED9">
                    <w:rPr>
                      <w:rFonts w:ascii="Arial" w:hAnsi="Arial" w:cs="Arial"/>
                      <w:b/>
                      <w:bCs/>
                      <w:color w:val="FFFFFF" w:themeColor="background1"/>
                      <w:sz w:val="24"/>
                      <w:szCs w:val="24"/>
                    </w:rPr>
                    <w:t>External Debt</w:t>
                  </w:r>
                </w:p>
                <w:p w:rsidR="00D97CA4" w:rsidRPr="008D7FC2" w:rsidRDefault="00D97CA4" w:rsidP="00CD4514">
                  <w:pPr>
                    <w:jc w:val="center"/>
                    <w:rPr>
                      <w:szCs w:val="28"/>
                    </w:rPr>
                  </w:pPr>
                </w:p>
              </w:txbxContent>
            </v:textbox>
          </v:roundrect>
        </w:pict>
      </w:r>
    </w:p>
    <w:p w:rsidR="00CD4514" w:rsidRPr="00477F96" w:rsidRDefault="00BC3ED9" w:rsidP="00477F96">
      <w:pPr>
        <w:spacing w:after="0" w:line="240" w:lineRule="auto"/>
        <w:jc w:val="lowKashida"/>
        <w:rPr>
          <w:rFonts w:ascii="Times New Roman" w:hAnsi="Times New Roman" w:cs="Times New Roman"/>
          <w:sz w:val="18"/>
          <w:szCs w:val="18"/>
          <w:rtl/>
        </w:rPr>
      </w:pPr>
      <w:r w:rsidRPr="00477F96">
        <w:rPr>
          <w:rFonts w:ascii="Times New Roman" w:hAnsi="Times New Roman" w:cs="Times New Roman"/>
          <w:noProof/>
          <w:sz w:val="18"/>
          <w:szCs w:val="18"/>
          <w:rtl/>
        </w:rPr>
        <w:drawing>
          <wp:inline distT="0" distB="0" distL="0" distR="0">
            <wp:extent cx="5721350" cy="1524000"/>
            <wp:effectExtent l="19050" t="0" r="0" b="0"/>
            <wp:docPr id="8"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5" r:lo="rId56" r:qs="rId57" r:cs="rId58"/>
              </a:graphicData>
            </a:graphic>
          </wp:inline>
        </w:drawing>
      </w:r>
    </w:p>
    <w:p w:rsidR="00CD4514" w:rsidRDefault="00CD4514" w:rsidP="00477F96">
      <w:pPr>
        <w:spacing w:after="0" w:line="240" w:lineRule="auto"/>
        <w:jc w:val="lowKashida"/>
        <w:rPr>
          <w:rFonts w:ascii="Times New Roman" w:hAnsi="Times New Roman" w:cs="Times New Roman"/>
          <w:sz w:val="18"/>
          <w:szCs w:val="18"/>
        </w:rPr>
      </w:pPr>
    </w:p>
    <w:p w:rsidR="00BC3ED9" w:rsidRDefault="00BC3ED9" w:rsidP="00477F96">
      <w:pPr>
        <w:spacing w:after="0" w:line="240" w:lineRule="auto"/>
        <w:jc w:val="lowKashida"/>
        <w:rPr>
          <w:rFonts w:ascii="Times New Roman" w:hAnsi="Times New Roman" w:cs="Times New Roman"/>
          <w:sz w:val="18"/>
          <w:szCs w:val="18"/>
        </w:rPr>
      </w:pPr>
    </w:p>
    <w:p w:rsidR="00BC3ED9" w:rsidRDefault="00BC3ED9" w:rsidP="00477F96">
      <w:pPr>
        <w:spacing w:after="0" w:line="240" w:lineRule="auto"/>
        <w:jc w:val="lowKashida"/>
        <w:rPr>
          <w:rFonts w:ascii="Times New Roman" w:hAnsi="Times New Roman" w:cs="Times New Roman"/>
          <w:sz w:val="18"/>
          <w:szCs w:val="18"/>
        </w:rPr>
      </w:pPr>
    </w:p>
    <w:p w:rsidR="00BC3ED9" w:rsidRPr="00477F96" w:rsidRDefault="00BC3ED9" w:rsidP="00477F96">
      <w:pPr>
        <w:spacing w:after="0" w:line="240" w:lineRule="auto"/>
        <w:jc w:val="lowKashida"/>
        <w:rPr>
          <w:rFonts w:ascii="Times New Roman" w:hAnsi="Times New Roman" w:cs="Times New Roman"/>
          <w:sz w:val="18"/>
          <w:szCs w:val="18"/>
          <w:rtl/>
        </w:rPr>
      </w:pPr>
    </w:p>
    <w:p w:rsidR="00CD4514" w:rsidRPr="00477F96" w:rsidRDefault="00CD4514" w:rsidP="00477F96">
      <w:pPr>
        <w:spacing w:after="0" w:line="240" w:lineRule="auto"/>
        <w:jc w:val="lowKashida"/>
        <w:rPr>
          <w:rFonts w:ascii="Times New Roman" w:hAnsi="Times New Roman" w:cs="Times New Roman"/>
          <w:sz w:val="18"/>
          <w:szCs w:val="18"/>
          <w:rtl/>
        </w:rPr>
      </w:pPr>
      <w:r w:rsidRPr="00477F96">
        <w:rPr>
          <w:rFonts w:ascii="Times New Roman" w:hAnsi="Times New Roman" w:cs="Times New Roman"/>
          <w:noProof/>
          <w:sz w:val="18"/>
          <w:szCs w:val="18"/>
          <w:rtl/>
        </w:rPr>
        <w:drawing>
          <wp:inline distT="0" distB="0" distL="0" distR="0">
            <wp:extent cx="5753100" cy="2108200"/>
            <wp:effectExtent l="0" t="0" r="0" b="0"/>
            <wp:docPr id="44"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0" r:lo="rId61" r:qs="rId62" r:cs="rId63"/>
              </a:graphicData>
            </a:graphic>
          </wp:inline>
        </w:drawing>
      </w:r>
    </w:p>
    <w:p w:rsidR="00BC3ED9" w:rsidRDefault="00BC3ED9" w:rsidP="00477F96">
      <w:pPr>
        <w:spacing w:after="0" w:line="240" w:lineRule="auto"/>
        <w:jc w:val="both"/>
        <w:rPr>
          <w:rFonts w:ascii="Times New Roman" w:hAnsi="Times New Roman" w:cs="Times New Roman"/>
          <w:b/>
          <w:bCs/>
          <w:sz w:val="28"/>
          <w:szCs w:val="28"/>
        </w:rPr>
      </w:pPr>
    </w:p>
    <w:p w:rsidR="002648C6" w:rsidRDefault="002648C6" w:rsidP="00477F96">
      <w:pPr>
        <w:spacing w:after="0" w:line="240" w:lineRule="auto"/>
        <w:jc w:val="both"/>
        <w:rPr>
          <w:rFonts w:ascii="Times New Roman" w:hAnsi="Times New Roman" w:cs="Times New Roman"/>
          <w:b/>
          <w:bCs/>
          <w:sz w:val="28"/>
          <w:szCs w:val="28"/>
        </w:rPr>
      </w:pPr>
    </w:p>
    <w:p w:rsidR="00CD4514" w:rsidRPr="00364FB2" w:rsidRDefault="00C31E01" w:rsidP="00477F96">
      <w:pPr>
        <w:spacing w:after="0" w:line="240" w:lineRule="auto"/>
        <w:jc w:val="both"/>
        <w:rPr>
          <w:rFonts w:ascii="Times New Roman" w:hAnsi="Times New Roman" w:cs="Times New Roman"/>
          <w:b/>
          <w:bCs/>
          <w:sz w:val="24"/>
          <w:szCs w:val="24"/>
        </w:rPr>
      </w:pPr>
      <w:r w:rsidRPr="00364FB2">
        <w:rPr>
          <w:rFonts w:ascii="Times New Roman" w:hAnsi="Times New Roman" w:cs="Times New Roman"/>
          <w:b/>
          <w:bCs/>
          <w:sz w:val="24"/>
          <w:szCs w:val="24"/>
        </w:rPr>
        <w:lastRenderedPageBreak/>
        <w:t xml:space="preserve">4.1 </w:t>
      </w:r>
      <w:r w:rsidR="00CD4514" w:rsidRPr="00364FB2">
        <w:rPr>
          <w:rFonts w:ascii="Times New Roman" w:hAnsi="Times New Roman" w:cs="Times New Roman"/>
          <w:b/>
          <w:bCs/>
          <w:sz w:val="24"/>
          <w:szCs w:val="24"/>
        </w:rPr>
        <w:t>Balance of Payments</w:t>
      </w:r>
      <w:r w:rsidR="00CD4514" w:rsidRPr="00364FB2">
        <w:rPr>
          <w:rStyle w:val="FootnoteReference"/>
          <w:rFonts w:ascii="Times New Roman" w:hAnsi="Times New Roman" w:cs="Times New Roman"/>
          <w:b/>
          <w:bCs/>
          <w:sz w:val="24"/>
          <w:szCs w:val="24"/>
        </w:rPr>
        <w:footnoteReference w:id="7"/>
      </w:r>
    </w:p>
    <w:p w:rsidR="00CD4514" w:rsidRPr="00477F96" w:rsidRDefault="00CD4514" w:rsidP="00C31E01">
      <w:pPr>
        <w:spacing w:after="0" w:line="240" w:lineRule="auto"/>
        <w:rPr>
          <w:rFonts w:ascii="Times New Roman" w:hAnsi="Times New Roman" w:cs="Times New Roman"/>
          <w:b/>
          <w:bCs/>
          <w:sz w:val="24"/>
          <w:szCs w:val="24"/>
        </w:rPr>
      </w:pPr>
      <w:r w:rsidRPr="00477F96">
        <w:rPr>
          <w:rFonts w:ascii="Times New Roman" w:hAnsi="Times New Roman" w:cs="Times New Roman"/>
          <w:b/>
          <w:bCs/>
          <w:sz w:val="24"/>
          <w:szCs w:val="24"/>
        </w:rPr>
        <w:t>The worsening of the current account deficit in Palestine during the year 2018 led to an increase in its ratio of GDP reaching 11.4%, compared with 10.8% in 2017.</w:t>
      </w:r>
    </w:p>
    <w:p w:rsidR="00CD4514" w:rsidRPr="00477F96" w:rsidRDefault="00CD4514" w:rsidP="00C31E01">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value of current account deficit in Palestine during 2018 increased by 6.1% compared to 2017, reaching USD 1,659.3 million</w:t>
      </w:r>
      <w:r w:rsidRPr="00477F96">
        <w:rPr>
          <w:rFonts w:ascii="Times New Roman" w:hAnsi="Times New Roman" w:cs="Times New Roman"/>
          <w:sz w:val="24"/>
          <w:szCs w:val="24"/>
        </w:rPr>
        <w:t>.  This rise in current account deficit</w:t>
      </w:r>
      <w:r w:rsidRPr="00477F96">
        <w:rPr>
          <w:rFonts w:ascii="Times New Roman" w:hAnsi="Times New Roman" w:cs="Times New Roman"/>
          <w:b/>
          <w:bCs/>
          <w:sz w:val="24"/>
          <w:szCs w:val="24"/>
        </w:rPr>
        <w:t xml:space="preserve"> </w:t>
      </w:r>
      <w:r w:rsidRPr="00477F96">
        <w:rPr>
          <w:rFonts w:ascii="Times New Roman" w:hAnsi="Times New Roman" w:cs="Times New Roman"/>
          <w:sz w:val="24"/>
          <w:szCs w:val="24"/>
        </w:rPr>
        <w:t>was due to an increase of the value of trade balance deficit by 8.4%, and a decrease in value of net current transfers by 2.4% compared to 2017.  (See table 11).</w:t>
      </w:r>
    </w:p>
    <w:p w:rsidR="00CD4514" w:rsidRPr="00477F96" w:rsidRDefault="00CD4514" w:rsidP="00C31E01">
      <w:pPr>
        <w:spacing w:after="0" w:line="240" w:lineRule="auto"/>
        <w:jc w:val="both"/>
        <w:rPr>
          <w:rFonts w:ascii="Times New Roman" w:hAnsi="Times New Roman" w:cs="Times New Roman"/>
          <w:b/>
          <w:bCs/>
          <w:sz w:val="24"/>
          <w:szCs w:val="24"/>
        </w:rPr>
      </w:pPr>
    </w:p>
    <w:p w:rsidR="00CD4514" w:rsidRPr="00477F96" w:rsidRDefault="00CD4514" w:rsidP="00C31E01">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value of trade balance deficit increased by 8.4% in 2018 compared to 2017, reaching USD 5,827.4 million</w:t>
      </w:r>
      <w:r w:rsidRPr="00477F96">
        <w:rPr>
          <w:rFonts w:ascii="Times New Roman" w:hAnsi="Times New Roman" w:cs="Times New Roman"/>
          <w:sz w:val="24"/>
          <w:szCs w:val="24"/>
        </w:rPr>
        <w:t xml:space="preserve">.  This increase in the value of trade balance deficit resulted from the increase in the value of total imports of goods and services by 8.2% in 2018, which reached USD 8,730.9 million, compared to an increase in the value of exports by 7.8%, </w:t>
      </w:r>
      <w:r w:rsidRPr="00163633">
        <w:rPr>
          <w:rFonts w:ascii="Times New Roman" w:hAnsi="Times New Roman" w:cs="Times New Roman"/>
          <w:sz w:val="24"/>
          <w:szCs w:val="24"/>
        </w:rPr>
        <w:t>representing</w:t>
      </w:r>
      <w:r w:rsidRPr="00477F96">
        <w:rPr>
          <w:rFonts w:ascii="Times New Roman" w:hAnsi="Times New Roman" w:cs="Times New Roman"/>
          <w:sz w:val="24"/>
          <w:szCs w:val="24"/>
        </w:rPr>
        <w:t xml:space="preserve"> USD 2,903.5 million.  Furthermore, the ratio of trade balance deficit to imports recorded a slightly increase to reach 66.7% in 2018, compared to 66.6% in 2017.  As shown in the figure below, the deficit in the trade balance value worsened significantly during the period </w:t>
      </w:r>
      <w:r w:rsidR="00C31E01">
        <w:rPr>
          <w:rFonts w:ascii="Times New Roman" w:hAnsi="Times New Roman" w:cs="Times New Roman"/>
          <w:sz w:val="24"/>
          <w:szCs w:val="24"/>
        </w:rPr>
        <w:t xml:space="preserve">      </w:t>
      </w:r>
      <w:r w:rsidRPr="00477F96">
        <w:rPr>
          <w:rFonts w:ascii="Times New Roman" w:hAnsi="Times New Roman" w:cs="Times New Roman"/>
          <w:sz w:val="24"/>
          <w:szCs w:val="24"/>
        </w:rPr>
        <w:t>2013-2018 as a result of the steady increase of imports compared to exports. (See figure below).</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C31E01" w:rsidRDefault="00CD4514" w:rsidP="00477F96">
      <w:pPr>
        <w:spacing w:after="0" w:line="240" w:lineRule="auto"/>
        <w:jc w:val="center"/>
        <w:rPr>
          <w:rFonts w:ascii="Arial" w:hAnsi="Arial" w:cs="Arial"/>
          <w:b/>
          <w:bCs/>
        </w:rPr>
      </w:pPr>
      <w:r w:rsidRPr="00C31E01">
        <w:rPr>
          <w:rFonts w:ascii="Arial" w:hAnsi="Arial" w:cs="Arial"/>
          <w:b/>
          <w:bCs/>
        </w:rPr>
        <w:t>Trade balance of goods a</w:t>
      </w:r>
      <w:r w:rsidR="00EF105D">
        <w:rPr>
          <w:rFonts w:ascii="Arial" w:hAnsi="Arial" w:cs="Arial"/>
          <w:b/>
          <w:bCs/>
        </w:rPr>
        <w:t>nd services in Palestine, 2013-</w:t>
      </w:r>
      <w:r w:rsidRPr="00C31E01">
        <w:rPr>
          <w:rFonts w:ascii="Arial" w:hAnsi="Arial" w:cs="Arial"/>
          <w:b/>
          <w:bCs/>
        </w:rPr>
        <w:t xml:space="preserve">2018 </w:t>
      </w:r>
    </w:p>
    <w:tbl>
      <w:tblPr>
        <w:tblStyle w:val="TableGrid"/>
        <w:tblW w:w="0" w:type="auto"/>
        <w:jc w:val="center"/>
        <w:tblInd w:w="-141" w:type="dxa"/>
        <w:tblLayout w:type="fixed"/>
        <w:tblLook w:val="04A0"/>
      </w:tblPr>
      <w:tblGrid>
        <w:gridCol w:w="9002"/>
      </w:tblGrid>
      <w:tr w:rsidR="00CD4514" w:rsidRPr="00477F96" w:rsidTr="00163633">
        <w:trPr>
          <w:jc w:val="center"/>
        </w:trPr>
        <w:tc>
          <w:tcPr>
            <w:tcW w:w="9002" w:type="dxa"/>
          </w:tcPr>
          <w:p w:rsidR="00CD4514" w:rsidRPr="00477F96" w:rsidRDefault="00CD4514" w:rsidP="00163633">
            <w:pPr>
              <w:ind w:right="-251"/>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427594" cy="2639833"/>
                  <wp:effectExtent l="19050" t="0" r="1656" b="0"/>
                  <wp:docPr id="53"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tc>
      </w:tr>
    </w:tbl>
    <w:p w:rsidR="00CD4514" w:rsidRPr="00477F96" w:rsidRDefault="00CD4514" w:rsidP="00477F96">
      <w:pPr>
        <w:spacing w:after="0" w:line="240" w:lineRule="auto"/>
        <w:jc w:val="center"/>
        <w:rPr>
          <w:rFonts w:ascii="Times New Roman" w:hAnsi="Times New Roman" w:cs="Times New Roman"/>
          <w:b/>
          <w:bCs/>
        </w:rPr>
      </w:pPr>
    </w:p>
    <w:p w:rsidR="00CD4514" w:rsidRPr="00477F96" w:rsidRDefault="00CD4514" w:rsidP="00477F96">
      <w:pPr>
        <w:spacing w:after="0" w:line="240" w:lineRule="auto"/>
        <w:jc w:val="center"/>
        <w:rPr>
          <w:rFonts w:ascii="Times New Roman" w:hAnsi="Times New Roman" w:cs="Times New Roman"/>
          <w:b/>
          <w:bCs/>
        </w:rPr>
      </w:pPr>
    </w:p>
    <w:p w:rsidR="00CD4514" w:rsidRPr="00477F96" w:rsidRDefault="00CD4514" w:rsidP="00477F96">
      <w:pPr>
        <w:spacing w:after="0" w:line="240" w:lineRule="auto"/>
        <w:jc w:val="center"/>
        <w:rPr>
          <w:rFonts w:ascii="Times New Roman" w:hAnsi="Times New Roman" w:cs="Times New Roman"/>
        </w:rPr>
      </w:pPr>
    </w:p>
    <w:p w:rsidR="00CD4514" w:rsidRPr="00477F96" w:rsidRDefault="00CD4514" w:rsidP="00477F96">
      <w:pPr>
        <w:spacing w:after="0" w:line="240" w:lineRule="auto"/>
        <w:jc w:val="center"/>
        <w:rPr>
          <w:rFonts w:ascii="Times New Roman" w:hAnsi="Times New Roman" w:cs="Times New Roman"/>
        </w:rPr>
      </w:pPr>
    </w:p>
    <w:p w:rsidR="00CD4514" w:rsidRPr="00477F96" w:rsidRDefault="00CD4514" w:rsidP="00477F96">
      <w:pPr>
        <w:spacing w:after="0" w:line="240" w:lineRule="auto"/>
        <w:jc w:val="center"/>
        <w:rPr>
          <w:rFonts w:ascii="Times New Roman" w:hAnsi="Times New Roman" w:cs="Times New Roman"/>
        </w:rPr>
      </w:pPr>
    </w:p>
    <w:p w:rsidR="00CD4514" w:rsidRPr="00477F96" w:rsidRDefault="00CD4514" w:rsidP="00477F96">
      <w:pPr>
        <w:spacing w:after="0" w:line="240" w:lineRule="auto"/>
        <w:jc w:val="center"/>
        <w:rPr>
          <w:rFonts w:ascii="Times New Roman" w:hAnsi="Times New Roman" w:cs="Times New Roman"/>
        </w:rPr>
      </w:pPr>
    </w:p>
    <w:p w:rsidR="00CD4514" w:rsidRPr="00477F96" w:rsidRDefault="00CD4514" w:rsidP="00477F96">
      <w:pPr>
        <w:spacing w:after="0" w:line="240" w:lineRule="auto"/>
        <w:jc w:val="both"/>
        <w:rPr>
          <w:rFonts w:ascii="Times New Roman" w:hAnsi="Times New Roman" w:cs="Times New Roman"/>
          <w:b/>
          <w:bCs/>
          <w:sz w:val="28"/>
          <w:szCs w:val="28"/>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rPr>
          <w:rFonts w:ascii="Times New Roman" w:hAnsi="Times New Roman" w:cs="Times New Roman"/>
          <w:b/>
          <w:bCs/>
        </w:rPr>
      </w:pPr>
      <w:r w:rsidRPr="00477F96">
        <w:rPr>
          <w:rFonts w:ascii="Times New Roman" w:hAnsi="Times New Roman" w:cs="Times New Roman"/>
          <w:b/>
          <w:bCs/>
        </w:rPr>
        <w:br w:type="page"/>
      </w:r>
    </w:p>
    <w:p w:rsidR="00CD4514" w:rsidRPr="00FF7E95" w:rsidRDefault="00CD4514" w:rsidP="00477F96">
      <w:pPr>
        <w:spacing w:after="0" w:line="240" w:lineRule="auto"/>
        <w:jc w:val="center"/>
        <w:rPr>
          <w:rFonts w:ascii="Arial" w:hAnsi="Arial" w:cs="Arial"/>
          <w:b/>
          <w:bCs/>
          <w:lang w:eastAsia="ar-SA"/>
        </w:rPr>
      </w:pPr>
      <w:r w:rsidRPr="00FF7E95">
        <w:rPr>
          <w:rFonts w:ascii="Arial" w:hAnsi="Arial" w:cs="Arial"/>
          <w:b/>
          <w:bCs/>
        </w:rPr>
        <w:lastRenderedPageBreak/>
        <w:t xml:space="preserve">Table 11: </w:t>
      </w:r>
      <w:r w:rsidRPr="00FF7E95">
        <w:rPr>
          <w:rFonts w:ascii="Arial" w:hAnsi="Arial" w:cs="Arial"/>
          <w:b/>
          <w:bCs/>
          <w:lang w:eastAsia="ar-SA"/>
        </w:rPr>
        <w:t xml:space="preserve">Balance </w:t>
      </w:r>
      <w:r w:rsidR="00EF105D">
        <w:rPr>
          <w:rFonts w:ascii="Arial" w:hAnsi="Arial" w:cs="Arial"/>
          <w:b/>
          <w:bCs/>
          <w:lang w:eastAsia="ar-SA"/>
        </w:rPr>
        <w:t>of Payments in Palestine, 2013-</w:t>
      </w:r>
      <w:r w:rsidRPr="00FF7E95">
        <w:rPr>
          <w:rFonts w:ascii="Arial" w:hAnsi="Arial" w:cs="Arial"/>
          <w:b/>
          <w:bCs/>
          <w:lang w:eastAsia="ar-SA"/>
        </w:rPr>
        <w:t>2018</w:t>
      </w:r>
    </w:p>
    <w:p w:rsidR="00CD4514" w:rsidRPr="00477F96" w:rsidRDefault="00CD4514" w:rsidP="00477F96">
      <w:pPr>
        <w:spacing w:after="0" w:line="240" w:lineRule="auto"/>
        <w:jc w:val="center"/>
        <w:rPr>
          <w:rFonts w:ascii="Times New Roman" w:hAnsi="Times New Roman" w:cs="Times New Roman"/>
          <w:b/>
          <w:bCs/>
          <w:sz w:val="10"/>
          <w:szCs w:val="10"/>
          <w:lang w:eastAsia="ar-SA"/>
        </w:rPr>
      </w:pPr>
    </w:p>
    <w:p w:rsidR="00CD4514" w:rsidRPr="00A74D0D" w:rsidRDefault="00CD4514" w:rsidP="00477F96">
      <w:pPr>
        <w:tabs>
          <w:tab w:val="center" w:pos="4464"/>
        </w:tabs>
        <w:spacing w:after="0" w:line="240" w:lineRule="auto"/>
        <w:ind w:hanging="142"/>
        <w:rPr>
          <w:rFonts w:ascii="Arial" w:hAnsi="Arial" w:cs="Arial"/>
          <w:sz w:val="18"/>
          <w:szCs w:val="18"/>
        </w:rPr>
      </w:pPr>
      <w:r w:rsidRPr="00A74D0D">
        <w:rPr>
          <w:rFonts w:ascii="Arial" w:hAnsi="Arial" w:cs="Arial"/>
          <w:sz w:val="18"/>
          <w:szCs w:val="18"/>
        </w:rPr>
        <w:t>Value in USD million</w:t>
      </w:r>
      <w:r w:rsidRPr="00A74D0D">
        <w:rPr>
          <w:rFonts w:ascii="Arial" w:hAnsi="Arial" w:cs="Arial"/>
          <w:sz w:val="18"/>
          <w:szCs w:val="18"/>
        </w:rPr>
        <w:tab/>
      </w:r>
    </w:p>
    <w:tbl>
      <w:tblPr>
        <w:tblW w:w="9072" w:type="dxa"/>
        <w:jc w:val="center"/>
        <w:tblLook w:val="0000"/>
      </w:tblPr>
      <w:tblGrid>
        <w:gridCol w:w="3164"/>
        <w:gridCol w:w="869"/>
        <w:gridCol w:w="1007"/>
        <w:gridCol w:w="1009"/>
        <w:gridCol w:w="1007"/>
        <w:gridCol w:w="1007"/>
        <w:gridCol w:w="1009"/>
      </w:tblGrid>
      <w:tr w:rsidR="00CD4514" w:rsidRPr="00A74D0D" w:rsidTr="00FF7E95">
        <w:trPr>
          <w:trHeight w:val="340"/>
          <w:jc w:val="center"/>
        </w:trPr>
        <w:tc>
          <w:tcPr>
            <w:tcW w:w="1744" w:type="pct"/>
            <w:tcBorders>
              <w:top w:val="single" w:sz="12" w:space="0" w:color="auto"/>
              <w:bottom w:val="single" w:sz="12" w:space="0" w:color="auto"/>
            </w:tcBorders>
            <w:vAlign w:val="center"/>
          </w:tcPr>
          <w:p w:rsidR="00CD4514" w:rsidRPr="00A74D0D" w:rsidRDefault="00CD4514" w:rsidP="00477F96">
            <w:pPr>
              <w:pStyle w:val="Footer"/>
              <w:tabs>
                <w:tab w:val="clear" w:pos="4153"/>
                <w:tab w:val="clear" w:pos="8306"/>
              </w:tabs>
              <w:jc w:val="center"/>
              <w:rPr>
                <w:rFonts w:ascii="Arial" w:hAnsi="Arial" w:cs="Arial"/>
                <w:b/>
                <w:bCs/>
                <w:sz w:val="18"/>
                <w:szCs w:val="18"/>
              </w:rPr>
            </w:pPr>
            <w:r w:rsidRPr="00A74D0D">
              <w:rPr>
                <w:rFonts w:ascii="Arial" w:hAnsi="Arial" w:cs="Arial"/>
                <w:b/>
                <w:bCs/>
                <w:sz w:val="18"/>
                <w:szCs w:val="18"/>
              </w:rPr>
              <w:t>Item</w:t>
            </w:r>
          </w:p>
        </w:tc>
        <w:tc>
          <w:tcPr>
            <w:tcW w:w="479" w:type="pct"/>
            <w:tcBorders>
              <w:top w:val="single" w:sz="12" w:space="0" w:color="auto"/>
              <w:bottom w:val="single" w:sz="12" w:space="0" w:color="auto"/>
            </w:tcBorders>
            <w:vAlign w:val="center"/>
          </w:tcPr>
          <w:p w:rsidR="00CD4514" w:rsidRPr="00A74D0D" w:rsidRDefault="00CD4514" w:rsidP="00477F96">
            <w:pPr>
              <w:spacing w:after="0" w:line="240" w:lineRule="auto"/>
              <w:jc w:val="center"/>
              <w:rPr>
                <w:rFonts w:ascii="Arial" w:hAnsi="Arial" w:cs="Arial"/>
                <w:b/>
                <w:bCs/>
                <w:sz w:val="18"/>
                <w:szCs w:val="18"/>
                <w:rtl/>
              </w:rPr>
            </w:pPr>
            <w:r w:rsidRPr="00A74D0D">
              <w:rPr>
                <w:rFonts w:ascii="Arial" w:hAnsi="Arial" w:cs="Arial"/>
                <w:b/>
                <w:bCs/>
                <w:sz w:val="18"/>
                <w:szCs w:val="18"/>
              </w:rPr>
              <w:t>2013</w:t>
            </w:r>
          </w:p>
        </w:tc>
        <w:tc>
          <w:tcPr>
            <w:tcW w:w="555" w:type="pct"/>
            <w:tcBorders>
              <w:top w:val="single" w:sz="12" w:space="0" w:color="auto"/>
              <w:bottom w:val="single" w:sz="12" w:space="0" w:color="auto"/>
            </w:tcBorders>
            <w:vAlign w:val="center"/>
          </w:tcPr>
          <w:p w:rsidR="00CD4514" w:rsidRPr="00A74D0D" w:rsidRDefault="00CD4514" w:rsidP="00477F96">
            <w:pPr>
              <w:spacing w:after="0" w:line="240" w:lineRule="auto"/>
              <w:jc w:val="center"/>
              <w:rPr>
                <w:rFonts w:ascii="Arial" w:hAnsi="Arial" w:cs="Arial"/>
                <w:b/>
                <w:bCs/>
                <w:sz w:val="18"/>
                <w:szCs w:val="18"/>
                <w:rtl/>
              </w:rPr>
            </w:pPr>
            <w:r w:rsidRPr="00A74D0D">
              <w:rPr>
                <w:rFonts w:ascii="Arial" w:hAnsi="Arial" w:cs="Arial"/>
                <w:b/>
                <w:bCs/>
                <w:sz w:val="18"/>
                <w:szCs w:val="18"/>
              </w:rPr>
              <w:t>2014</w:t>
            </w:r>
          </w:p>
        </w:tc>
        <w:tc>
          <w:tcPr>
            <w:tcW w:w="556" w:type="pct"/>
            <w:tcBorders>
              <w:top w:val="single" w:sz="12" w:space="0" w:color="auto"/>
              <w:bottom w:val="single" w:sz="12" w:space="0" w:color="auto"/>
            </w:tcBorders>
            <w:vAlign w:val="center"/>
          </w:tcPr>
          <w:p w:rsidR="00CD4514" w:rsidRPr="00A74D0D" w:rsidRDefault="00CD4514" w:rsidP="00477F96">
            <w:pPr>
              <w:spacing w:after="0" w:line="240" w:lineRule="auto"/>
              <w:jc w:val="center"/>
              <w:rPr>
                <w:rFonts w:ascii="Arial" w:hAnsi="Arial" w:cs="Arial"/>
                <w:b/>
                <w:bCs/>
                <w:sz w:val="18"/>
                <w:szCs w:val="18"/>
              </w:rPr>
            </w:pPr>
            <w:r w:rsidRPr="00A74D0D">
              <w:rPr>
                <w:rFonts w:ascii="Arial" w:hAnsi="Arial" w:cs="Arial"/>
                <w:b/>
                <w:bCs/>
                <w:sz w:val="18"/>
                <w:szCs w:val="18"/>
              </w:rPr>
              <w:t>2015</w:t>
            </w:r>
          </w:p>
        </w:tc>
        <w:tc>
          <w:tcPr>
            <w:tcW w:w="555" w:type="pct"/>
            <w:tcBorders>
              <w:top w:val="single" w:sz="12" w:space="0" w:color="auto"/>
              <w:bottom w:val="single" w:sz="12" w:space="0" w:color="auto"/>
            </w:tcBorders>
            <w:vAlign w:val="center"/>
          </w:tcPr>
          <w:p w:rsidR="00CD4514" w:rsidRPr="00A74D0D" w:rsidRDefault="00CD4514" w:rsidP="00477F96">
            <w:pPr>
              <w:spacing w:after="0" w:line="240" w:lineRule="auto"/>
              <w:jc w:val="center"/>
              <w:rPr>
                <w:rFonts w:ascii="Arial" w:hAnsi="Arial" w:cs="Arial"/>
                <w:b/>
                <w:bCs/>
                <w:sz w:val="18"/>
                <w:szCs w:val="18"/>
              </w:rPr>
            </w:pPr>
            <w:r w:rsidRPr="00A74D0D">
              <w:rPr>
                <w:rFonts w:ascii="Arial" w:hAnsi="Arial" w:cs="Arial"/>
                <w:b/>
                <w:bCs/>
                <w:sz w:val="18"/>
                <w:szCs w:val="18"/>
              </w:rPr>
              <w:t>2016</w:t>
            </w:r>
          </w:p>
        </w:tc>
        <w:tc>
          <w:tcPr>
            <w:tcW w:w="555" w:type="pct"/>
            <w:tcBorders>
              <w:top w:val="single" w:sz="12" w:space="0" w:color="auto"/>
              <w:bottom w:val="single" w:sz="12" w:space="0" w:color="auto"/>
            </w:tcBorders>
            <w:vAlign w:val="center"/>
          </w:tcPr>
          <w:p w:rsidR="00CD4514" w:rsidRPr="00A74D0D" w:rsidRDefault="00CD4514" w:rsidP="00477F96">
            <w:pPr>
              <w:spacing w:after="0" w:line="240" w:lineRule="auto"/>
              <w:jc w:val="center"/>
              <w:rPr>
                <w:rFonts w:ascii="Arial" w:hAnsi="Arial" w:cs="Arial"/>
                <w:b/>
                <w:bCs/>
                <w:sz w:val="18"/>
                <w:szCs w:val="18"/>
              </w:rPr>
            </w:pPr>
            <w:r w:rsidRPr="00A74D0D">
              <w:rPr>
                <w:rFonts w:ascii="Arial" w:hAnsi="Arial" w:cs="Arial"/>
                <w:b/>
                <w:bCs/>
                <w:sz w:val="18"/>
                <w:szCs w:val="18"/>
                <w:rtl/>
              </w:rPr>
              <w:t>201</w:t>
            </w:r>
            <w:r w:rsidRPr="00A74D0D">
              <w:rPr>
                <w:rFonts w:ascii="Arial" w:hAnsi="Arial" w:cs="Arial"/>
                <w:b/>
                <w:bCs/>
                <w:sz w:val="18"/>
                <w:szCs w:val="18"/>
              </w:rPr>
              <w:t>7</w:t>
            </w:r>
            <w:proofErr w:type="spellStart"/>
            <w:r w:rsidRPr="00A74D0D">
              <w:rPr>
                <w:rFonts w:ascii="Arial" w:hAnsi="Arial" w:cs="Arial"/>
                <w:b/>
                <w:bCs/>
                <w:sz w:val="18"/>
                <w:szCs w:val="18"/>
                <w:rtl/>
              </w:rPr>
              <w:t>*</w:t>
            </w:r>
            <w:proofErr w:type="spellEnd"/>
          </w:p>
        </w:tc>
        <w:tc>
          <w:tcPr>
            <w:tcW w:w="556" w:type="pct"/>
            <w:tcBorders>
              <w:top w:val="single" w:sz="12" w:space="0" w:color="auto"/>
              <w:bottom w:val="single" w:sz="12" w:space="0" w:color="auto"/>
            </w:tcBorders>
            <w:vAlign w:val="center"/>
          </w:tcPr>
          <w:p w:rsidR="00CD4514" w:rsidRPr="00A74D0D" w:rsidRDefault="00CD4514" w:rsidP="00477F96">
            <w:pPr>
              <w:spacing w:after="0" w:line="240" w:lineRule="auto"/>
              <w:jc w:val="center"/>
              <w:rPr>
                <w:rFonts w:ascii="Arial" w:hAnsi="Arial" w:cs="Arial"/>
                <w:b/>
                <w:bCs/>
                <w:sz w:val="18"/>
                <w:szCs w:val="18"/>
              </w:rPr>
            </w:pPr>
            <w:r w:rsidRPr="00A74D0D">
              <w:rPr>
                <w:rFonts w:ascii="Arial" w:hAnsi="Arial" w:cs="Arial"/>
                <w:b/>
                <w:bCs/>
                <w:sz w:val="18"/>
                <w:szCs w:val="18"/>
                <w:rtl/>
              </w:rPr>
              <w:t>201</w:t>
            </w:r>
            <w:r w:rsidRPr="00A74D0D">
              <w:rPr>
                <w:rFonts w:ascii="Arial" w:hAnsi="Arial" w:cs="Arial"/>
                <w:b/>
                <w:bCs/>
                <w:sz w:val="18"/>
                <w:szCs w:val="18"/>
              </w:rPr>
              <w:t>8</w:t>
            </w:r>
            <w:proofErr w:type="spellStart"/>
            <w:r w:rsidRPr="00A74D0D">
              <w:rPr>
                <w:rFonts w:ascii="Arial" w:hAnsi="Arial" w:cs="Arial"/>
                <w:b/>
                <w:bCs/>
                <w:sz w:val="18"/>
                <w:szCs w:val="18"/>
                <w:rtl/>
              </w:rPr>
              <w:t>*</w:t>
            </w:r>
            <w:proofErr w:type="spellEnd"/>
          </w:p>
        </w:tc>
      </w:tr>
      <w:tr w:rsidR="00CD4514" w:rsidRPr="00A74D0D" w:rsidTr="008361CC">
        <w:trPr>
          <w:trHeight w:val="340"/>
          <w:jc w:val="center"/>
        </w:trPr>
        <w:tc>
          <w:tcPr>
            <w:tcW w:w="1744" w:type="pct"/>
            <w:tcBorders>
              <w:top w:val="single" w:sz="12" w:space="0" w:color="auto"/>
            </w:tcBorders>
          </w:tcPr>
          <w:p w:rsidR="00CD4514" w:rsidRPr="008361CC" w:rsidRDefault="00CD4514" w:rsidP="008361CC">
            <w:pPr>
              <w:pStyle w:val="NormalWeb"/>
              <w:spacing w:before="0" w:beforeAutospacing="0" w:after="0" w:afterAutospacing="0"/>
              <w:rPr>
                <w:rFonts w:ascii="Arial" w:hAnsi="Arial" w:cs="Arial"/>
                <w:b/>
                <w:bCs/>
                <w:sz w:val="16"/>
                <w:szCs w:val="16"/>
              </w:rPr>
            </w:pPr>
            <w:r w:rsidRPr="008361CC">
              <w:rPr>
                <w:rFonts w:ascii="Arial" w:hAnsi="Arial" w:cs="Arial"/>
                <w:b/>
                <w:bCs/>
                <w:sz w:val="16"/>
                <w:szCs w:val="16"/>
              </w:rPr>
              <w:t>First: Current account (net)</w:t>
            </w:r>
          </w:p>
        </w:tc>
        <w:tc>
          <w:tcPr>
            <w:tcW w:w="479" w:type="pct"/>
            <w:tcBorders>
              <w:top w:val="single" w:sz="12" w:space="0" w:color="auto"/>
            </w:tcBorders>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-2,383.4</w:t>
            </w:r>
          </w:p>
        </w:tc>
        <w:tc>
          <w:tcPr>
            <w:tcW w:w="555" w:type="pct"/>
            <w:tcBorders>
              <w:top w:val="single" w:sz="12" w:space="0" w:color="auto"/>
            </w:tcBorders>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-2,149.0</w:t>
            </w:r>
          </w:p>
        </w:tc>
        <w:tc>
          <w:tcPr>
            <w:tcW w:w="556" w:type="pct"/>
            <w:tcBorders>
              <w:top w:val="single" w:sz="12" w:space="0" w:color="auto"/>
            </w:tcBorders>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-2,065.7</w:t>
            </w:r>
          </w:p>
        </w:tc>
        <w:tc>
          <w:tcPr>
            <w:tcW w:w="555" w:type="pct"/>
            <w:tcBorders>
              <w:top w:val="single" w:sz="12" w:space="0" w:color="auto"/>
            </w:tcBorders>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-1,941.3</w:t>
            </w:r>
          </w:p>
        </w:tc>
        <w:tc>
          <w:tcPr>
            <w:tcW w:w="555" w:type="pct"/>
            <w:tcBorders>
              <w:top w:val="single" w:sz="12" w:space="0" w:color="auto"/>
            </w:tcBorders>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-1,563.7</w:t>
            </w:r>
          </w:p>
        </w:tc>
        <w:tc>
          <w:tcPr>
            <w:tcW w:w="556" w:type="pct"/>
            <w:tcBorders>
              <w:top w:val="single" w:sz="12" w:space="0" w:color="auto"/>
            </w:tcBorders>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-1,659.3</w:t>
            </w:r>
          </w:p>
        </w:tc>
      </w:tr>
      <w:tr w:rsidR="00CD4514" w:rsidRPr="00A74D0D" w:rsidTr="008361CC">
        <w:trPr>
          <w:trHeight w:val="340"/>
          <w:jc w:val="center"/>
        </w:trPr>
        <w:tc>
          <w:tcPr>
            <w:tcW w:w="1744" w:type="pct"/>
          </w:tcPr>
          <w:p w:rsidR="00CD4514" w:rsidRPr="008361CC" w:rsidRDefault="00CD4514" w:rsidP="008361CC">
            <w:pPr>
              <w:pStyle w:val="ListParagraph"/>
              <w:numPr>
                <w:ilvl w:val="0"/>
                <w:numId w:val="6"/>
              </w:numPr>
              <w:tabs>
                <w:tab w:val="left" w:pos="426"/>
              </w:tabs>
              <w:spacing w:after="0" w:line="240" w:lineRule="auto"/>
              <w:ind w:left="284" w:hanging="142"/>
              <w:rPr>
                <w:rFonts w:ascii="Arial" w:hAnsi="Arial" w:cs="Arial"/>
                <w:b/>
                <w:bCs/>
                <w:sz w:val="16"/>
                <w:szCs w:val="16"/>
                <w:rtl/>
              </w:rPr>
            </w:pPr>
            <w:r w:rsidRPr="008361CC">
              <w:rPr>
                <w:rFonts w:ascii="Arial" w:hAnsi="Arial" w:cs="Arial"/>
                <w:b/>
                <w:bCs/>
                <w:sz w:val="16"/>
                <w:szCs w:val="16"/>
              </w:rPr>
              <w:t>Goods (net)</w:t>
            </w:r>
          </w:p>
        </w:tc>
        <w:tc>
          <w:tcPr>
            <w:tcW w:w="479"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-4,682.7</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-4,830.2</w:t>
            </w:r>
          </w:p>
        </w:tc>
        <w:tc>
          <w:tcPr>
            <w:tcW w:w="556"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-4,300.4</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-4,327.3</w:t>
            </w:r>
          </w:p>
        </w:tc>
        <w:tc>
          <w:tcPr>
            <w:tcW w:w="555"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-4,439.1</w:t>
            </w:r>
          </w:p>
        </w:tc>
        <w:tc>
          <w:tcPr>
            <w:tcW w:w="556"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-4,813.2</w:t>
            </w:r>
          </w:p>
        </w:tc>
      </w:tr>
      <w:tr w:rsidR="00CD4514" w:rsidRPr="00A74D0D" w:rsidTr="008361CC">
        <w:trPr>
          <w:trHeight w:val="340"/>
          <w:jc w:val="center"/>
        </w:trPr>
        <w:tc>
          <w:tcPr>
            <w:tcW w:w="1744" w:type="pct"/>
          </w:tcPr>
          <w:p w:rsidR="00CD4514" w:rsidRPr="008361CC" w:rsidRDefault="00CD4514" w:rsidP="008361CC">
            <w:pPr>
              <w:pStyle w:val="ListParagraph"/>
              <w:numPr>
                <w:ilvl w:val="0"/>
                <w:numId w:val="6"/>
              </w:numPr>
              <w:tabs>
                <w:tab w:val="left" w:pos="426"/>
              </w:tabs>
              <w:spacing w:after="0" w:line="240" w:lineRule="auto"/>
              <w:ind w:left="284" w:hanging="142"/>
              <w:rPr>
                <w:rFonts w:ascii="Arial" w:hAnsi="Arial" w:cs="Arial"/>
                <w:b/>
                <w:bCs/>
                <w:sz w:val="16"/>
                <w:szCs w:val="16"/>
                <w:rtl/>
              </w:rPr>
            </w:pPr>
            <w:r w:rsidRPr="008361CC">
              <w:rPr>
                <w:rFonts w:ascii="Arial" w:hAnsi="Arial" w:cs="Arial"/>
                <w:b/>
                <w:bCs/>
                <w:sz w:val="16"/>
                <w:szCs w:val="16"/>
              </w:rPr>
              <w:t>Services (net)</w:t>
            </w:r>
          </w:p>
        </w:tc>
        <w:tc>
          <w:tcPr>
            <w:tcW w:w="479"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-49.5</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-206.5</w:t>
            </w:r>
          </w:p>
        </w:tc>
        <w:tc>
          <w:tcPr>
            <w:tcW w:w="556"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-899.1</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-918.7</w:t>
            </w:r>
          </w:p>
        </w:tc>
        <w:tc>
          <w:tcPr>
            <w:tcW w:w="555"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-935.1</w:t>
            </w:r>
          </w:p>
        </w:tc>
        <w:tc>
          <w:tcPr>
            <w:tcW w:w="556"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-1,014.2</w:t>
            </w:r>
          </w:p>
        </w:tc>
      </w:tr>
      <w:tr w:rsidR="00CD4514" w:rsidRPr="00A74D0D" w:rsidTr="008361CC">
        <w:trPr>
          <w:trHeight w:val="340"/>
          <w:jc w:val="center"/>
        </w:trPr>
        <w:tc>
          <w:tcPr>
            <w:tcW w:w="1744" w:type="pct"/>
          </w:tcPr>
          <w:p w:rsidR="00CD4514" w:rsidRPr="008361CC" w:rsidRDefault="00CD4514" w:rsidP="008361CC">
            <w:pPr>
              <w:pStyle w:val="ListParagraph"/>
              <w:numPr>
                <w:ilvl w:val="0"/>
                <w:numId w:val="6"/>
              </w:numPr>
              <w:tabs>
                <w:tab w:val="left" w:pos="426"/>
              </w:tabs>
              <w:spacing w:after="0" w:line="240" w:lineRule="auto"/>
              <w:ind w:left="284" w:hanging="142"/>
              <w:rPr>
                <w:rFonts w:ascii="Arial" w:hAnsi="Arial" w:cs="Arial"/>
                <w:b/>
                <w:bCs/>
                <w:sz w:val="16"/>
                <w:szCs w:val="16"/>
                <w:rtl/>
              </w:rPr>
            </w:pPr>
            <w:r w:rsidRPr="008361CC">
              <w:rPr>
                <w:rFonts w:ascii="Arial" w:hAnsi="Arial" w:cs="Arial"/>
                <w:b/>
                <w:bCs/>
                <w:sz w:val="16"/>
                <w:szCs w:val="16"/>
              </w:rPr>
              <w:t>Income (net)</w:t>
            </w:r>
          </w:p>
        </w:tc>
        <w:tc>
          <w:tcPr>
            <w:tcW w:w="479"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1,160.3</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1,482.5</w:t>
            </w:r>
          </w:p>
        </w:tc>
        <w:tc>
          <w:tcPr>
            <w:tcW w:w="556"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1,712.3</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1,896.0</w:t>
            </w:r>
          </w:p>
        </w:tc>
        <w:tc>
          <w:tcPr>
            <w:tcW w:w="555"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1,991.9</w:t>
            </w:r>
          </w:p>
        </w:tc>
        <w:tc>
          <w:tcPr>
            <w:tcW w:w="556"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2,393.7</w:t>
            </w:r>
          </w:p>
        </w:tc>
      </w:tr>
      <w:tr w:rsidR="00CD4514" w:rsidRPr="00A74D0D" w:rsidTr="008361CC">
        <w:trPr>
          <w:trHeight w:val="340"/>
          <w:jc w:val="center"/>
        </w:trPr>
        <w:tc>
          <w:tcPr>
            <w:tcW w:w="1744" w:type="pct"/>
          </w:tcPr>
          <w:p w:rsidR="00CD4514" w:rsidRPr="008361CC" w:rsidRDefault="00CD4514" w:rsidP="008361CC">
            <w:pPr>
              <w:tabs>
                <w:tab w:val="left" w:pos="1113"/>
              </w:tabs>
              <w:spacing w:after="0" w:line="240" w:lineRule="auto"/>
              <w:rPr>
                <w:rFonts w:ascii="Arial" w:hAnsi="Arial" w:cs="Arial"/>
                <w:sz w:val="16"/>
                <w:szCs w:val="16"/>
                <w:rtl/>
              </w:rPr>
            </w:pPr>
            <w:r w:rsidRPr="008361CC">
              <w:rPr>
                <w:rFonts w:ascii="Arial" w:hAnsi="Arial" w:cs="Arial"/>
                <w:sz w:val="16"/>
                <w:szCs w:val="16"/>
              </w:rPr>
              <w:t xml:space="preserve">        Compensation of employees    (net)</w:t>
            </w:r>
            <w:r w:rsidR="004C2D05" w:rsidRPr="008361CC">
              <w:rPr>
                <w:rFonts w:ascii="Arial" w:hAnsi="Arial" w:cs="Arial"/>
                <w:sz w:val="16"/>
                <w:szCs w:val="16"/>
                <w:rtl/>
              </w:rPr>
              <w:t xml:space="preserve"> </w:t>
            </w:r>
          </w:p>
        </w:tc>
        <w:tc>
          <w:tcPr>
            <w:tcW w:w="479"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1,139.7</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1,448.6</w:t>
            </w:r>
          </w:p>
        </w:tc>
        <w:tc>
          <w:tcPr>
            <w:tcW w:w="556"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1,663.0</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1,893.6</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1,968.9</w:t>
            </w:r>
          </w:p>
        </w:tc>
        <w:tc>
          <w:tcPr>
            <w:tcW w:w="556"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2,277.3</w:t>
            </w:r>
          </w:p>
        </w:tc>
      </w:tr>
      <w:tr w:rsidR="00CD4514" w:rsidRPr="00A74D0D" w:rsidTr="008361CC">
        <w:trPr>
          <w:trHeight w:val="340"/>
          <w:jc w:val="center"/>
        </w:trPr>
        <w:tc>
          <w:tcPr>
            <w:tcW w:w="1744" w:type="pct"/>
          </w:tcPr>
          <w:p w:rsidR="00CD4514" w:rsidRPr="008361CC" w:rsidRDefault="00CD4514" w:rsidP="008361CC">
            <w:pPr>
              <w:tabs>
                <w:tab w:val="left" w:pos="1113"/>
              </w:tabs>
              <w:spacing w:after="0" w:line="240" w:lineRule="auto"/>
              <w:rPr>
                <w:rFonts w:ascii="Arial" w:hAnsi="Arial" w:cs="Arial"/>
                <w:sz w:val="16"/>
                <w:szCs w:val="16"/>
                <w:rtl/>
              </w:rPr>
            </w:pPr>
            <w:r w:rsidRPr="008361CC">
              <w:rPr>
                <w:rFonts w:ascii="Arial" w:hAnsi="Arial" w:cs="Arial"/>
                <w:sz w:val="16"/>
                <w:szCs w:val="16"/>
              </w:rPr>
              <w:t xml:space="preserve">        Investment income (net)</w:t>
            </w:r>
            <w:r w:rsidRPr="008361CC">
              <w:rPr>
                <w:rFonts w:ascii="Arial" w:hAnsi="Arial" w:cs="Arial"/>
                <w:sz w:val="16"/>
                <w:szCs w:val="16"/>
                <w:rtl/>
              </w:rPr>
              <w:t xml:space="preserve">   </w:t>
            </w:r>
          </w:p>
        </w:tc>
        <w:tc>
          <w:tcPr>
            <w:tcW w:w="479"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20.6</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33.9</w:t>
            </w:r>
          </w:p>
        </w:tc>
        <w:tc>
          <w:tcPr>
            <w:tcW w:w="556"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49.3</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2.4</w:t>
            </w:r>
          </w:p>
        </w:tc>
        <w:tc>
          <w:tcPr>
            <w:tcW w:w="555"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23.0</w:t>
            </w:r>
          </w:p>
        </w:tc>
        <w:tc>
          <w:tcPr>
            <w:tcW w:w="556"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116.4</w:t>
            </w:r>
          </w:p>
        </w:tc>
      </w:tr>
      <w:tr w:rsidR="00CD4514" w:rsidRPr="00A74D0D" w:rsidTr="008361CC">
        <w:trPr>
          <w:trHeight w:val="340"/>
          <w:jc w:val="center"/>
        </w:trPr>
        <w:tc>
          <w:tcPr>
            <w:tcW w:w="1744" w:type="pct"/>
          </w:tcPr>
          <w:p w:rsidR="00CD4514" w:rsidRPr="008361CC" w:rsidRDefault="00CD4514" w:rsidP="008361CC">
            <w:pPr>
              <w:pStyle w:val="ListParagraph"/>
              <w:numPr>
                <w:ilvl w:val="0"/>
                <w:numId w:val="6"/>
              </w:numPr>
              <w:tabs>
                <w:tab w:val="left" w:pos="426"/>
              </w:tabs>
              <w:spacing w:after="0" w:line="240" w:lineRule="auto"/>
              <w:ind w:left="284" w:hanging="142"/>
              <w:rPr>
                <w:rFonts w:ascii="Arial" w:hAnsi="Arial" w:cs="Arial"/>
                <w:b/>
                <w:bCs/>
                <w:sz w:val="16"/>
                <w:szCs w:val="16"/>
                <w:rtl/>
              </w:rPr>
            </w:pPr>
            <w:r w:rsidRPr="008361CC">
              <w:rPr>
                <w:rFonts w:ascii="Arial" w:hAnsi="Arial" w:cs="Arial"/>
                <w:b/>
                <w:bCs/>
                <w:sz w:val="16"/>
                <w:szCs w:val="16"/>
              </w:rPr>
              <w:t>Current transfers (net)</w:t>
            </w:r>
          </w:p>
        </w:tc>
        <w:tc>
          <w:tcPr>
            <w:tcW w:w="479"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1,188.5</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1,405.2</w:t>
            </w:r>
          </w:p>
        </w:tc>
        <w:tc>
          <w:tcPr>
            <w:tcW w:w="556"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1,421.5</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1,408.7</w:t>
            </w:r>
          </w:p>
        </w:tc>
        <w:tc>
          <w:tcPr>
            <w:tcW w:w="555"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1,818.6</w:t>
            </w:r>
          </w:p>
        </w:tc>
        <w:tc>
          <w:tcPr>
            <w:tcW w:w="556"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1,774.4</w:t>
            </w:r>
          </w:p>
        </w:tc>
      </w:tr>
      <w:tr w:rsidR="00CD4514" w:rsidRPr="00A74D0D" w:rsidTr="008361CC">
        <w:trPr>
          <w:trHeight w:val="340"/>
          <w:jc w:val="center"/>
        </w:trPr>
        <w:tc>
          <w:tcPr>
            <w:tcW w:w="1744" w:type="pct"/>
          </w:tcPr>
          <w:p w:rsidR="00CD4514" w:rsidRPr="008361CC" w:rsidRDefault="00CD4514" w:rsidP="008361CC">
            <w:pPr>
              <w:pStyle w:val="NormalWeb"/>
              <w:spacing w:before="0" w:beforeAutospacing="0" w:after="0" w:afterAutospacing="0"/>
              <w:rPr>
                <w:rFonts w:ascii="Arial" w:hAnsi="Arial" w:cs="Arial"/>
                <w:b/>
                <w:bCs/>
                <w:sz w:val="16"/>
                <w:szCs w:val="16"/>
              </w:rPr>
            </w:pPr>
            <w:r w:rsidRPr="008361CC">
              <w:rPr>
                <w:rFonts w:ascii="Arial" w:hAnsi="Arial" w:cs="Arial"/>
                <w:b/>
                <w:bCs/>
                <w:sz w:val="16"/>
                <w:szCs w:val="16"/>
              </w:rPr>
              <w:t>Second: Capital and financial account (net)</w:t>
            </w:r>
          </w:p>
        </w:tc>
        <w:tc>
          <w:tcPr>
            <w:tcW w:w="479"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2,144.6</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1,765.8</w:t>
            </w:r>
          </w:p>
        </w:tc>
        <w:tc>
          <w:tcPr>
            <w:tcW w:w="556"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2,450.7</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1,701.1</w:t>
            </w:r>
          </w:p>
        </w:tc>
        <w:tc>
          <w:tcPr>
            <w:tcW w:w="555"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1,395.2</w:t>
            </w:r>
          </w:p>
        </w:tc>
        <w:tc>
          <w:tcPr>
            <w:tcW w:w="556"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1,802.8</w:t>
            </w:r>
          </w:p>
        </w:tc>
      </w:tr>
      <w:tr w:rsidR="00CD4514" w:rsidRPr="00A74D0D" w:rsidTr="008361CC">
        <w:trPr>
          <w:trHeight w:val="340"/>
          <w:jc w:val="center"/>
        </w:trPr>
        <w:tc>
          <w:tcPr>
            <w:tcW w:w="1744" w:type="pct"/>
          </w:tcPr>
          <w:p w:rsidR="00CD4514" w:rsidRPr="008361CC" w:rsidRDefault="00CD4514" w:rsidP="008361CC">
            <w:pPr>
              <w:pStyle w:val="ListParagraph"/>
              <w:numPr>
                <w:ilvl w:val="0"/>
                <w:numId w:val="9"/>
              </w:numPr>
              <w:tabs>
                <w:tab w:val="left" w:pos="426"/>
              </w:tabs>
              <w:spacing w:after="0" w:line="240" w:lineRule="auto"/>
              <w:ind w:left="284" w:hanging="142"/>
              <w:rPr>
                <w:rFonts w:ascii="Arial" w:hAnsi="Arial" w:cs="Arial"/>
                <w:b/>
                <w:bCs/>
                <w:sz w:val="16"/>
                <w:szCs w:val="16"/>
                <w:rtl/>
              </w:rPr>
            </w:pPr>
            <w:r w:rsidRPr="008361CC">
              <w:rPr>
                <w:rFonts w:ascii="Arial" w:hAnsi="Arial" w:cs="Arial"/>
                <w:b/>
                <w:bCs/>
                <w:sz w:val="16"/>
                <w:szCs w:val="16"/>
              </w:rPr>
              <w:t>Capital account (net)</w:t>
            </w:r>
          </w:p>
        </w:tc>
        <w:tc>
          <w:tcPr>
            <w:tcW w:w="479"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551.3</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691.0</w:t>
            </w:r>
          </w:p>
        </w:tc>
        <w:tc>
          <w:tcPr>
            <w:tcW w:w="556"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490.7</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682.0</w:t>
            </w:r>
          </w:p>
        </w:tc>
        <w:tc>
          <w:tcPr>
            <w:tcW w:w="555"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397.1</w:t>
            </w:r>
          </w:p>
        </w:tc>
        <w:tc>
          <w:tcPr>
            <w:tcW w:w="556"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388.9</w:t>
            </w:r>
          </w:p>
        </w:tc>
      </w:tr>
      <w:tr w:rsidR="00CD4514" w:rsidRPr="00A74D0D" w:rsidTr="008361CC">
        <w:trPr>
          <w:trHeight w:val="340"/>
          <w:jc w:val="center"/>
        </w:trPr>
        <w:tc>
          <w:tcPr>
            <w:tcW w:w="1744" w:type="pct"/>
          </w:tcPr>
          <w:p w:rsidR="00CD4514" w:rsidRPr="008361CC" w:rsidRDefault="00CD4514" w:rsidP="008361CC">
            <w:pPr>
              <w:tabs>
                <w:tab w:val="left" w:pos="1113"/>
              </w:tabs>
              <w:spacing w:after="0" w:line="240" w:lineRule="auto"/>
              <w:rPr>
                <w:rFonts w:ascii="Arial" w:hAnsi="Arial" w:cs="Arial"/>
                <w:sz w:val="16"/>
                <w:szCs w:val="16"/>
                <w:rtl/>
              </w:rPr>
            </w:pPr>
            <w:r w:rsidRPr="008361CC">
              <w:rPr>
                <w:rFonts w:ascii="Arial" w:hAnsi="Arial" w:cs="Arial"/>
                <w:sz w:val="16"/>
                <w:szCs w:val="16"/>
              </w:rPr>
              <w:t xml:space="preserve">         Capital transfers (net)</w:t>
            </w:r>
          </w:p>
        </w:tc>
        <w:tc>
          <w:tcPr>
            <w:tcW w:w="479"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551.3</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691.0</w:t>
            </w:r>
          </w:p>
        </w:tc>
        <w:tc>
          <w:tcPr>
            <w:tcW w:w="556"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509.6</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694.6</w:t>
            </w:r>
          </w:p>
        </w:tc>
        <w:tc>
          <w:tcPr>
            <w:tcW w:w="555"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397.1</w:t>
            </w:r>
          </w:p>
        </w:tc>
        <w:tc>
          <w:tcPr>
            <w:tcW w:w="556"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388.9</w:t>
            </w:r>
          </w:p>
        </w:tc>
      </w:tr>
      <w:tr w:rsidR="00CD4514" w:rsidRPr="00A74D0D" w:rsidTr="008361CC">
        <w:trPr>
          <w:trHeight w:val="340"/>
          <w:jc w:val="center"/>
        </w:trPr>
        <w:tc>
          <w:tcPr>
            <w:tcW w:w="1744" w:type="pct"/>
          </w:tcPr>
          <w:p w:rsidR="00CD4514" w:rsidRPr="008361CC" w:rsidRDefault="00CD4514" w:rsidP="008361CC">
            <w:pPr>
              <w:tabs>
                <w:tab w:val="left" w:pos="1113"/>
              </w:tabs>
              <w:spacing w:after="0" w:line="240" w:lineRule="auto"/>
              <w:ind w:left="426"/>
              <w:rPr>
                <w:rFonts w:ascii="Arial" w:hAnsi="Arial" w:cs="Arial"/>
                <w:sz w:val="16"/>
                <w:szCs w:val="16"/>
                <w:rtl/>
              </w:rPr>
            </w:pPr>
            <w:r w:rsidRPr="008361CC">
              <w:rPr>
                <w:rFonts w:ascii="Arial" w:hAnsi="Arial" w:cs="Arial"/>
                <w:sz w:val="16"/>
                <w:szCs w:val="16"/>
              </w:rPr>
              <w:t>Acquisition / disposal of non- financial, non-financial assets (net)</w:t>
            </w:r>
          </w:p>
        </w:tc>
        <w:tc>
          <w:tcPr>
            <w:tcW w:w="479"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0.0</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0.0</w:t>
            </w:r>
          </w:p>
        </w:tc>
        <w:tc>
          <w:tcPr>
            <w:tcW w:w="556"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-18.9</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-12.6</w:t>
            </w:r>
          </w:p>
        </w:tc>
        <w:tc>
          <w:tcPr>
            <w:tcW w:w="555"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0.0</w:t>
            </w:r>
          </w:p>
        </w:tc>
        <w:tc>
          <w:tcPr>
            <w:tcW w:w="556"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0.0</w:t>
            </w:r>
          </w:p>
        </w:tc>
      </w:tr>
      <w:tr w:rsidR="00CD4514" w:rsidRPr="00A74D0D" w:rsidTr="008361CC">
        <w:trPr>
          <w:trHeight w:val="340"/>
          <w:jc w:val="center"/>
        </w:trPr>
        <w:tc>
          <w:tcPr>
            <w:tcW w:w="1744" w:type="pct"/>
          </w:tcPr>
          <w:p w:rsidR="00CD4514" w:rsidRPr="008361CC" w:rsidRDefault="00CD4514" w:rsidP="008361CC">
            <w:pPr>
              <w:pStyle w:val="ListParagraph"/>
              <w:numPr>
                <w:ilvl w:val="0"/>
                <w:numId w:val="9"/>
              </w:numPr>
              <w:tabs>
                <w:tab w:val="left" w:pos="426"/>
              </w:tabs>
              <w:spacing w:after="0" w:line="240" w:lineRule="auto"/>
              <w:ind w:left="284" w:hanging="142"/>
              <w:rPr>
                <w:rFonts w:ascii="Arial" w:hAnsi="Arial" w:cs="Arial"/>
                <w:b/>
                <w:bCs/>
                <w:sz w:val="16"/>
                <w:szCs w:val="16"/>
                <w:rtl/>
              </w:rPr>
            </w:pPr>
            <w:r w:rsidRPr="008361CC">
              <w:rPr>
                <w:rFonts w:ascii="Arial" w:hAnsi="Arial" w:cs="Arial"/>
                <w:b/>
                <w:bCs/>
                <w:sz w:val="16"/>
                <w:szCs w:val="16"/>
              </w:rPr>
              <w:t>Financial account (net)**</w:t>
            </w:r>
          </w:p>
        </w:tc>
        <w:tc>
          <w:tcPr>
            <w:tcW w:w="479"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1,593.3</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1,074.8</w:t>
            </w:r>
          </w:p>
        </w:tc>
        <w:tc>
          <w:tcPr>
            <w:tcW w:w="556"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1,960.0</w:t>
            </w:r>
          </w:p>
        </w:tc>
        <w:tc>
          <w:tcPr>
            <w:tcW w:w="555" w:type="pct"/>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1,019.1</w:t>
            </w:r>
          </w:p>
        </w:tc>
        <w:tc>
          <w:tcPr>
            <w:tcW w:w="555"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998.1</w:t>
            </w:r>
          </w:p>
        </w:tc>
        <w:tc>
          <w:tcPr>
            <w:tcW w:w="556" w:type="pct"/>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1,413.9</w:t>
            </w:r>
          </w:p>
        </w:tc>
      </w:tr>
      <w:tr w:rsidR="00CD4514" w:rsidRPr="00A74D0D" w:rsidTr="008361CC">
        <w:trPr>
          <w:trHeight w:val="340"/>
          <w:jc w:val="center"/>
        </w:trPr>
        <w:tc>
          <w:tcPr>
            <w:tcW w:w="1744" w:type="pct"/>
          </w:tcPr>
          <w:p w:rsidR="00CD4514" w:rsidRPr="008361CC" w:rsidRDefault="00CD4514" w:rsidP="008361CC">
            <w:pPr>
              <w:tabs>
                <w:tab w:val="left" w:pos="1113"/>
              </w:tabs>
              <w:spacing w:after="0" w:line="240" w:lineRule="auto"/>
              <w:rPr>
                <w:rFonts w:ascii="Arial" w:hAnsi="Arial" w:cs="Arial"/>
                <w:sz w:val="16"/>
                <w:szCs w:val="16"/>
                <w:rtl/>
              </w:rPr>
            </w:pPr>
            <w:r w:rsidRPr="008361CC">
              <w:rPr>
                <w:rFonts w:ascii="Arial" w:hAnsi="Arial" w:cs="Arial"/>
                <w:sz w:val="16"/>
                <w:szCs w:val="16"/>
              </w:rPr>
              <w:t xml:space="preserve">      Foreign Direct investment (net)</w:t>
            </w:r>
          </w:p>
        </w:tc>
        <w:tc>
          <w:tcPr>
            <w:tcW w:w="479"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224.0</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-27.8</w:t>
            </w:r>
          </w:p>
        </w:tc>
        <w:tc>
          <w:tcPr>
            <w:tcW w:w="556"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29.6</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341.5</w:t>
            </w:r>
          </w:p>
        </w:tc>
        <w:tc>
          <w:tcPr>
            <w:tcW w:w="555"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221.9</w:t>
            </w:r>
          </w:p>
        </w:tc>
        <w:tc>
          <w:tcPr>
            <w:tcW w:w="556"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300.8</w:t>
            </w:r>
          </w:p>
        </w:tc>
      </w:tr>
      <w:tr w:rsidR="00CD4514" w:rsidRPr="00A74D0D" w:rsidTr="008361CC">
        <w:trPr>
          <w:trHeight w:val="340"/>
          <w:jc w:val="center"/>
        </w:trPr>
        <w:tc>
          <w:tcPr>
            <w:tcW w:w="1744" w:type="pct"/>
          </w:tcPr>
          <w:p w:rsidR="00CD4514" w:rsidRPr="008361CC" w:rsidRDefault="00CD4514" w:rsidP="008361CC">
            <w:pPr>
              <w:tabs>
                <w:tab w:val="left" w:pos="1113"/>
              </w:tabs>
              <w:spacing w:after="0" w:line="240" w:lineRule="auto"/>
              <w:rPr>
                <w:rFonts w:ascii="Arial" w:hAnsi="Arial" w:cs="Arial"/>
                <w:sz w:val="16"/>
                <w:szCs w:val="16"/>
                <w:rtl/>
              </w:rPr>
            </w:pPr>
            <w:r w:rsidRPr="008361CC">
              <w:rPr>
                <w:rFonts w:ascii="Arial" w:hAnsi="Arial" w:cs="Arial"/>
                <w:sz w:val="16"/>
                <w:szCs w:val="16"/>
              </w:rPr>
              <w:t xml:space="preserve">      Foreign Portfolio investment (net)</w:t>
            </w:r>
          </w:p>
        </w:tc>
        <w:tc>
          <w:tcPr>
            <w:tcW w:w="479"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186.8</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-179.0</w:t>
            </w:r>
          </w:p>
        </w:tc>
        <w:tc>
          <w:tcPr>
            <w:tcW w:w="556"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124.6</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-295.5</w:t>
            </w:r>
          </w:p>
        </w:tc>
        <w:tc>
          <w:tcPr>
            <w:tcW w:w="555"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68.6</w:t>
            </w:r>
          </w:p>
        </w:tc>
        <w:tc>
          <w:tcPr>
            <w:tcW w:w="556"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-267.4</w:t>
            </w:r>
          </w:p>
        </w:tc>
      </w:tr>
      <w:tr w:rsidR="00CD4514" w:rsidRPr="00A74D0D" w:rsidTr="008361CC">
        <w:trPr>
          <w:trHeight w:val="340"/>
          <w:jc w:val="center"/>
        </w:trPr>
        <w:tc>
          <w:tcPr>
            <w:tcW w:w="1744" w:type="pct"/>
          </w:tcPr>
          <w:p w:rsidR="00CD4514" w:rsidRPr="008361CC" w:rsidRDefault="00CD4514" w:rsidP="008361CC">
            <w:pPr>
              <w:tabs>
                <w:tab w:val="left" w:pos="1113"/>
              </w:tabs>
              <w:spacing w:after="0" w:line="240" w:lineRule="auto"/>
              <w:rPr>
                <w:rFonts w:ascii="Arial" w:hAnsi="Arial" w:cs="Arial"/>
                <w:sz w:val="16"/>
                <w:szCs w:val="16"/>
                <w:rtl/>
              </w:rPr>
            </w:pPr>
            <w:r w:rsidRPr="008361CC">
              <w:rPr>
                <w:rFonts w:ascii="Arial" w:hAnsi="Arial" w:cs="Arial"/>
                <w:sz w:val="16"/>
                <w:szCs w:val="16"/>
              </w:rPr>
              <w:t xml:space="preserve">      Foreign Other investment (net)</w:t>
            </w:r>
          </w:p>
        </w:tc>
        <w:tc>
          <w:tcPr>
            <w:tcW w:w="479"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1,203.6</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1,268.8</w:t>
            </w:r>
          </w:p>
        </w:tc>
        <w:tc>
          <w:tcPr>
            <w:tcW w:w="556"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1,714.3</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705.0</w:t>
            </w:r>
          </w:p>
        </w:tc>
        <w:tc>
          <w:tcPr>
            <w:tcW w:w="555"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841.1</w:t>
            </w:r>
          </w:p>
        </w:tc>
        <w:tc>
          <w:tcPr>
            <w:tcW w:w="556"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1,471.9</w:t>
            </w:r>
          </w:p>
        </w:tc>
      </w:tr>
      <w:tr w:rsidR="00CD4514" w:rsidRPr="00A74D0D" w:rsidTr="008361CC">
        <w:trPr>
          <w:trHeight w:val="340"/>
          <w:jc w:val="center"/>
        </w:trPr>
        <w:tc>
          <w:tcPr>
            <w:tcW w:w="1744" w:type="pct"/>
          </w:tcPr>
          <w:p w:rsidR="00CD4514" w:rsidRPr="008361CC" w:rsidRDefault="00CD4514" w:rsidP="008361CC">
            <w:pPr>
              <w:tabs>
                <w:tab w:val="left" w:pos="1113"/>
              </w:tabs>
              <w:spacing w:after="0" w:line="240" w:lineRule="auto"/>
              <w:rPr>
                <w:rFonts w:ascii="Arial" w:hAnsi="Arial" w:cs="Arial"/>
                <w:sz w:val="16"/>
                <w:szCs w:val="16"/>
              </w:rPr>
            </w:pPr>
            <w:r w:rsidRPr="008361CC">
              <w:rPr>
                <w:rFonts w:ascii="Arial" w:hAnsi="Arial" w:cs="Arial"/>
                <w:sz w:val="16"/>
                <w:szCs w:val="16"/>
              </w:rPr>
              <w:t xml:space="preserve">      Change in Reserve assets</w:t>
            </w:r>
          </w:p>
        </w:tc>
        <w:tc>
          <w:tcPr>
            <w:tcW w:w="479"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-21.1</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12.8</w:t>
            </w:r>
          </w:p>
        </w:tc>
        <w:tc>
          <w:tcPr>
            <w:tcW w:w="556"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91.5</w:t>
            </w:r>
          </w:p>
        </w:tc>
        <w:tc>
          <w:tcPr>
            <w:tcW w:w="555" w:type="pct"/>
          </w:tcPr>
          <w:p w:rsidR="00CD4514" w:rsidRPr="008361CC" w:rsidRDefault="00CD4514" w:rsidP="008361CC">
            <w:pPr>
              <w:spacing w:after="0" w:line="240" w:lineRule="auto"/>
              <w:jc w:val="right"/>
              <w:rPr>
                <w:rFonts w:ascii="Arial" w:hAnsi="Arial" w:cs="Arial"/>
                <w:sz w:val="16"/>
                <w:szCs w:val="16"/>
              </w:rPr>
            </w:pPr>
            <w:r w:rsidRPr="008361CC">
              <w:rPr>
                <w:rFonts w:ascii="Arial" w:hAnsi="Arial" w:cs="Arial"/>
                <w:sz w:val="16"/>
                <w:szCs w:val="16"/>
              </w:rPr>
              <w:t>268.1</w:t>
            </w:r>
          </w:p>
        </w:tc>
        <w:tc>
          <w:tcPr>
            <w:tcW w:w="555"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-133.5</w:t>
            </w:r>
          </w:p>
        </w:tc>
        <w:tc>
          <w:tcPr>
            <w:tcW w:w="556" w:type="pct"/>
          </w:tcPr>
          <w:p w:rsidR="00CD4514" w:rsidRPr="008361CC" w:rsidRDefault="00CD4514" w:rsidP="008361CC">
            <w:pPr>
              <w:spacing w:after="0" w:line="240" w:lineRule="auto"/>
              <w:ind w:firstLineChars="100" w:firstLine="160"/>
              <w:jc w:val="right"/>
              <w:rPr>
                <w:rFonts w:ascii="Arial" w:hAnsi="Arial" w:cs="Arial"/>
                <w:sz w:val="16"/>
                <w:szCs w:val="16"/>
              </w:rPr>
            </w:pPr>
            <w:r w:rsidRPr="008361CC">
              <w:rPr>
                <w:rFonts w:ascii="Arial" w:hAnsi="Arial" w:cs="Arial"/>
                <w:sz w:val="16"/>
                <w:szCs w:val="16"/>
              </w:rPr>
              <w:t>-91.4</w:t>
            </w:r>
          </w:p>
        </w:tc>
      </w:tr>
      <w:tr w:rsidR="00CD4514" w:rsidRPr="00A74D0D" w:rsidTr="008361CC">
        <w:trPr>
          <w:trHeight w:val="340"/>
          <w:jc w:val="center"/>
        </w:trPr>
        <w:tc>
          <w:tcPr>
            <w:tcW w:w="1744" w:type="pct"/>
            <w:tcBorders>
              <w:bottom w:val="single" w:sz="12" w:space="0" w:color="auto"/>
            </w:tcBorders>
          </w:tcPr>
          <w:p w:rsidR="00CD4514" w:rsidRPr="008361CC" w:rsidRDefault="00CD4514" w:rsidP="008361CC">
            <w:pPr>
              <w:pStyle w:val="NormalWeb"/>
              <w:spacing w:before="0" w:beforeAutospacing="0" w:after="0" w:afterAutospacing="0"/>
              <w:rPr>
                <w:rFonts w:ascii="Arial" w:hAnsi="Arial" w:cs="Arial"/>
                <w:b/>
                <w:bCs/>
                <w:sz w:val="16"/>
                <w:szCs w:val="16"/>
                <w:rtl/>
              </w:rPr>
            </w:pPr>
            <w:r w:rsidRPr="008361CC">
              <w:rPr>
                <w:rFonts w:ascii="Arial" w:hAnsi="Arial" w:cs="Arial"/>
                <w:b/>
                <w:bCs/>
                <w:sz w:val="16"/>
                <w:szCs w:val="16"/>
              </w:rPr>
              <w:t>Third: Net errors and omissions***</w:t>
            </w:r>
          </w:p>
        </w:tc>
        <w:tc>
          <w:tcPr>
            <w:tcW w:w="479" w:type="pct"/>
            <w:tcBorders>
              <w:bottom w:val="single" w:sz="12" w:space="0" w:color="auto"/>
            </w:tcBorders>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238.8</w:t>
            </w:r>
          </w:p>
        </w:tc>
        <w:tc>
          <w:tcPr>
            <w:tcW w:w="555" w:type="pct"/>
            <w:tcBorders>
              <w:bottom w:val="single" w:sz="12" w:space="0" w:color="auto"/>
            </w:tcBorders>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tl/>
              </w:rPr>
              <w:t>383.2</w:t>
            </w:r>
          </w:p>
        </w:tc>
        <w:tc>
          <w:tcPr>
            <w:tcW w:w="556" w:type="pct"/>
            <w:tcBorders>
              <w:bottom w:val="single" w:sz="12" w:space="0" w:color="auto"/>
            </w:tcBorders>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-385.0</w:t>
            </w:r>
          </w:p>
        </w:tc>
        <w:tc>
          <w:tcPr>
            <w:tcW w:w="555" w:type="pct"/>
            <w:tcBorders>
              <w:bottom w:val="single" w:sz="12" w:space="0" w:color="auto"/>
            </w:tcBorders>
          </w:tcPr>
          <w:p w:rsidR="00CD4514" w:rsidRPr="008361CC" w:rsidRDefault="00CD4514" w:rsidP="008361CC">
            <w:pPr>
              <w:spacing w:after="0" w:line="240" w:lineRule="auto"/>
              <w:jc w:val="right"/>
              <w:rPr>
                <w:rFonts w:ascii="Arial" w:hAnsi="Arial" w:cs="Arial"/>
                <w:b/>
                <w:bCs/>
                <w:sz w:val="16"/>
                <w:szCs w:val="16"/>
              </w:rPr>
            </w:pPr>
            <w:r w:rsidRPr="008361CC">
              <w:rPr>
                <w:rFonts w:ascii="Arial" w:hAnsi="Arial" w:cs="Arial"/>
                <w:b/>
                <w:bCs/>
                <w:sz w:val="16"/>
                <w:szCs w:val="16"/>
              </w:rPr>
              <w:t>240.2</w:t>
            </w:r>
          </w:p>
        </w:tc>
        <w:tc>
          <w:tcPr>
            <w:tcW w:w="555" w:type="pct"/>
            <w:tcBorders>
              <w:bottom w:val="single" w:sz="12" w:space="0" w:color="auto"/>
            </w:tcBorders>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168.5</w:t>
            </w:r>
          </w:p>
        </w:tc>
        <w:tc>
          <w:tcPr>
            <w:tcW w:w="556" w:type="pct"/>
            <w:tcBorders>
              <w:bottom w:val="single" w:sz="12" w:space="0" w:color="auto"/>
            </w:tcBorders>
          </w:tcPr>
          <w:p w:rsidR="00CD4514" w:rsidRPr="008361CC" w:rsidRDefault="00CD4514" w:rsidP="008361CC">
            <w:pPr>
              <w:spacing w:after="0" w:line="240" w:lineRule="auto"/>
              <w:ind w:firstLineChars="100" w:firstLine="161"/>
              <w:jc w:val="right"/>
              <w:rPr>
                <w:rFonts w:ascii="Arial" w:hAnsi="Arial" w:cs="Arial"/>
                <w:b/>
                <w:bCs/>
                <w:sz w:val="16"/>
                <w:szCs w:val="16"/>
              </w:rPr>
            </w:pPr>
            <w:r w:rsidRPr="008361CC">
              <w:rPr>
                <w:rFonts w:ascii="Arial" w:hAnsi="Arial" w:cs="Arial"/>
                <w:b/>
                <w:bCs/>
                <w:sz w:val="16"/>
                <w:szCs w:val="16"/>
              </w:rPr>
              <w:t>-143.5</w:t>
            </w:r>
          </w:p>
        </w:tc>
      </w:tr>
    </w:tbl>
    <w:p w:rsidR="00CD4514" w:rsidRPr="00477F96" w:rsidRDefault="00CD4514" w:rsidP="00477F96">
      <w:pPr>
        <w:spacing w:after="0" w:line="240" w:lineRule="auto"/>
        <w:ind w:left="284" w:hanging="284"/>
        <w:jc w:val="both"/>
        <w:rPr>
          <w:rFonts w:ascii="Times New Roman" w:hAnsi="Times New Roman" w:cs="Times New Roman"/>
          <w:sz w:val="18"/>
          <w:szCs w:val="18"/>
        </w:rPr>
      </w:pPr>
      <w:r w:rsidRPr="00477F96">
        <w:rPr>
          <w:rFonts w:ascii="Times New Roman" w:hAnsi="Times New Roman" w:cs="Times New Roman"/>
          <w:sz w:val="18"/>
          <w:szCs w:val="18"/>
        </w:rPr>
        <w:t>* Quarterly preliminary data.</w:t>
      </w:r>
    </w:p>
    <w:p w:rsidR="00CD4514" w:rsidRPr="00477F96" w:rsidRDefault="00CD4514" w:rsidP="00477F96">
      <w:pPr>
        <w:spacing w:after="0" w:line="240" w:lineRule="auto"/>
        <w:ind w:left="284" w:hanging="284"/>
        <w:jc w:val="both"/>
        <w:rPr>
          <w:rFonts w:ascii="Times New Roman" w:hAnsi="Times New Roman" w:cs="Times New Roman"/>
          <w:sz w:val="18"/>
          <w:szCs w:val="18"/>
        </w:rPr>
      </w:pPr>
      <w:r w:rsidRPr="00477F96">
        <w:rPr>
          <w:rFonts w:ascii="Times New Roman" w:hAnsi="Times New Roman" w:cs="Times New Roman"/>
          <w:sz w:val="18"/>
          <w:szCs w:val="18"/>
        </w:rPr>
        <w:t>** Includes reserve assets.</w:t>
      </w:r>
    </w:p>
    <w:p w:rsidR="00CD4514" w:rsidRPr="00477F96" w:rsidRDefault="00CD4514" w:rsidP="00477F96">
      <w:pPr>
        <w:spacing w:after="0" w:line="240" w:lineRule="auto"/>
        <w:ind w:left="284" w:hanging="284"/>
        <w:jc w:val="both"/>
        <w:rPr>
          <w:rFonts w:ascii="Times New Roman" w:hAnsi="Times New Roman" w:cs="Times New Roman"/>
          <w:sz w:val="18"/>
          <w:szCs w:val="18"/>
        </w:rPr>
      </w:pPr>
      <w:r w:rsidRPr="00477F96">
        <w:rPr>
          <w:rFonts w:ascii="Times New Roman" w:hAnsi="Times New Roman" w:cs="Times New Roman"/>
          <w:sz w:val="18"/>
          <w:szCs w:val="18"/>
        </w:rPr>
        <w:t>*** Net errors and omissions: Includes the difference between current account (net) on one hand, and capital and financial account (net) on the other hand.</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value of net income accounts increased by 20.2% in 2018 compared to 2017, reaching USD 2,393.7 million</w:t>
      </w:r>
      <w:r w:rsidRPr="00477F96">
        <w:rPr>
          <w:rFonts w:ascii="Times New Roman" w:hAnsi="Times New Roman" w:cs="Times New Roman"/>
          <w:sz w:val="24"/>
          <w:szCs w:val="24"/>
        </w:rPr>
        <w:t>.  The value of net compensation of employees increased by 15.7% in 2018, compared to the increasing value of net investment income by 406.1% compared to 2017.  The value of compensation of employees received from abroad represented 88.6% of the total value of received income account, while the value of investment income accounted for the rest.  As it is clear from the following figure, the value of compensation of employees received from abroad had been increasing since 2013 reaching the highest value in 2018, amounting to USD 2,278.2 million.</w:t>
      </w:r>
    </w:p>
    <w:p w:rsidR="00CD4514" w:rsidRDefault="00CD4514"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Default="008361CC" w:rsidP="00477F96">
      <w:pPr>
        <w:spacing w:after="0" w:line="240" w:lineRule="auto"/>
        <w:jc w:val="both"/>
        <w:rPr>
          <w:rFonts w:ascii="Times New Roman" w:hAnsi="Times New Roman" w:cs="Times New Roman"/>
          <w:sz w:val="24"/>
          <w:szCs w:val="24"/>
        </w:rPr>
      </w:pPr>
    </w:p>
    <w:p w:rsidR="008361CC" w:rsidRPr="00477F96" w:rsidRDefault="008361CC" w:rsidP="00477F96">
      <w:pPr>
        <w:spacing w:after="0" w:line="240" w:lineRule="auto"/>
        <w:jc w:val="both"/>
        <w:rPr>
          <w:rFonts w:ascii="Times New Roman" w:hAnsi="Times New Roman" w:cs="Times New Roman"/>
          <w:sz w:val="24"/>
          <w:szCs w:val="24"/>
        </w:rPr>
      </w:pPr>
    </w:p>
    <w:p w:rsidR="00CD4514" w:rsidRDefault="00CD4514" w:rsidP="00477F96">
      <w:pPr>
        <w:spacing w:after="0" w:line="240" w:lineRule="auto"/>
        <w:jc w:val="center"/>
        <w:rPr>
          <w:rFonts w:ascii="Arial" w:hAnsi="Arial" w:cs="Arial"/>
          <w:b/>
          <w:bCs/>
        </w:rPr>
      </w:pPr>
      <w:r w:rsidRPr="00DF6987">
        <w:rPr>
          <w:rFonts w:ascii="Arial" w:hAnsi="Arial" w:cs="Arial"/>
          <w:b/>
          <w:bCs/>
        </w:rPr>
        <w:lastRenderedPageBreak/>
        <w:t xml:space="preserve">Trend of compensation of employees and investment income received </w:t>
      </w:r>
      <w:r w:rsidR="00EF105D">
        <w:rPr>
          <w:rFonts w:ascii="Arial" w:hAnsi="Arial" w:cs="Arial"/>
          <w:b/>
          <w:bCs/>
        </w:rPr>
        <w:t>from abroad in Palestine, 2013-</w:t>
      </w:r>
      <w:r w:rsidRPr="00DF6987">
        <w:rPr>
          <w:rFonts w:ascii="Arial" w:hAnsi="Arial" w:cs="Arial"/>
          <w:b/>
          <w:bCs/>
        </w:rPr>
        <w:t>2018</w:t>
      </w:r>
    </w:p>
    <w:tbl>
      <w:tblPr>
        <w:tblStyle w:val="TableGrid"/>
        <w:tblW w:w="0" w:type="auto"/>
        <w:tblInd w:w="108" w:type="dxa"/>
        <w:tblLayout w:type="fixed"/>
        <w:tblLook w:val="04A0"/>
      </w:tblPr>
      <w:tblGrid>
        <w:gridCol w:w="9072"/>
      </w:tblGrid>
      <w:tr w:rsidR="002648C6" w:rsidTr="002648C6">
        <w:tc>
          <w:tcPr>
            <w:tcW w:w="9072" w:type="dxa"/>
          </w:tcPr>
          <w:p w:rsidR="002648C6" w:rsidRDefault="002648C6" w:rsidP="00477F96">
            <w:pPr>
              <w:jc w:val="center"/>
              <w:rPr>
                <w:rFonts w:ascii="Arial" w:hAnsi="Arial" w:cs="Arial"/>
                <w:b/>
                <w:bCs/>
              </w:rPr>
            </w:pPr>
            <w:r w:rsidRPr="002648C6">
              <w:rPr>
                <w:rFonts w:ascii="Arial" w:hAnsi="Arial" w:cs="Arial"/>
                <w:b/>
                <w:bCs/>
                <w:noProof/>
              </w:rPr>
              <w:drawing>
                <wp:inline distT="0" distB="0" distL="0" distR="0">
                  <wp:extent cx="5666133" cy="2584174"/>
                  <wp:effectExtent l="19050" t="0" r="0" b="0"/>
                  <wp:docPr id="13"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tc>
      </w:tr>
    </w:tbl>
    <w:p w:rsidR="002648C6" w:rsidRPr="00A74D0D" w:rsidRDefault="002648C6" w:rsidP="00477F96">
      <w:pPr>
        <w:spacing w:after="0" w:line="240" w:lineRule="auto"/>
        <w:jc w:val="center"/>
        <w:rPr>
          <w:rFonts w:ascii="Arial" w:hAnsi="Arial" w:cs="Arial"/>
          <w:b/>
          <w:bCs/>
          <w:sz w:val="24"/>
          <w:szCs w:val="24"/>
        </w:rPr>
      </w:pPr>
    </w:p>
    <w:p w:rsidR="00CD4514" w:rsidRPr="00477F96" w:rsidRDefault="00CD4514" w:rsidP="00477F96">
      <w:pPr>
        <w:spacing w:after="0" w:line="240" w:lineRule="auto"/>
        <w:jc w:val="both"/>
        <w:rPr>
          <w:rFonts w:ascii="Times New Roman" w:hAnsi="Times New Roman" w:cs="Times New Roman"/>
          <w:sz w:val="24"/>
          <w:szCs w:val="24"/>
        </w:rPr>
      </w:pPr>
      <w:r w:rsidRPr="00E06EFD">
        <w:rPr>
          <w:rFonts w:ascii="Times New Roman" w:hAnsi="Times New Roman" w:cs="Times New Roman"/>
          <w:b/>
          <w:bCs/>
          <w:sz w:val="24"/>
          <w:szCs w:val="24"/>
        </w:rPr>
        <w:t>The value of net current transfers decreased by 2.4% during the year 2018 and reached USD 1,774.4 million</w:t>
      </w:r>
      <w:r w:rsidRPr="00477F96">
        <w:rPr>
          <w:rFonts w:ascii="Times New Roman" w:hAnsi="Times New Roman" w:cs="Times New Roman"/>
          <w:sz w:val="24"/>
          <w:szCs w:val="24"/>
        </w:rPr>
        <w:t>.  This is due to the increase of the value of paid current transfers that reached USD 368.6 million, which is more than the increase of the value of current transfers received from abroad that reached USD 2,143.0 million.  This highlights the heavy dependency of the Palestinian economy on current transfers received from abroad to support the general budget and the external transfers to the private sector.</w:t>
      </w: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On the other hand, the value of capital transfers received from abroad decreased by 2.1% reaching USD 388.9 million during the year 2018 compared to USD 397.1 million in 2017</w:t>
      </w:r>
      <w:r w:rsidRPr="00477F96">
        <w:rPr>
          <w:rFonts w:ascii="Times New Roman" w:hAnsi="Times New Roman" w:cs="Times New Roman"/>
          <w:sz w:val="24"/>
          <w:szCs w:val="24"/>
        </w:rPr>
        <w:t>.  (See figure below).</w:t>
      </w:r>
    </w:p>
    <w:p w:rsidR="00CD4514" w:rsidRPr="00477F96" w:rsidRDefault="00CD4514" w:rsidP="00477F96">
      <w:pPr>
        <w:spacing w:after="0" w:line="240" w:lineRule="auto"/>
        <w:jc w:val="both"/>
        <w:rPr>
          <w:rFonts w:ascii="Times New Roman" w:hAnsi="Times New Roman" w:cs="Times New Roman"/>
          <w:b/>
          <w:bCs/>
          <w:sz w:val="24"/>
          <w:szCs w:val="24"/>
        </w:rPr>
      </w:pPr>
    </w:p>
    <w:p w:rsidR="00CD4514" w:rsidRPr="00DF6987" w:rsidRDefault="00CD4514" w:rsidP="00477F96">
      <w:pPr>
        <w:spacing w:after="0" w:line="240" w:lineRule="auto"/>
        <w:jc w:val="center"/>
        <w:rPr>
          <w:rFonts w:ascii="Arial" w:hAnsi="Arial" w:cs="Arial"/>
          <w:noProof/>
        </w:rPr>
      </w:pPr>
      <w:r w:rsidRPr="00DF6987">
        <w:rPr>
          <w:rFonts w:ascii="Arial" w:hAnsi="Arial" w:cs="Arial"/>
          <w:b/>
          <w:bCs/>
        </w:rPr>
        <w:t xml:space="preserve">Trend of current and capital transfers received </w:t>
      </w:r>
      <w:r w:rsidR="00EF105D">
        <w:rPr>
          <w:rFonts w:ascii="Arial" w:hAnsi="Arial" w:cs="Arial"/>
          <w:b/>
          <w:bCs/>
        </w:rPr>
        <w:t>from abroad in Palestine, 2013-</w:t>
      </w:r>
      <w:r w:rsidRPr="00DF6987">
        <w:rPr>
          <w:rFonts w:ascii="Arial" w:hAnsi="Arial" w:cs="Arial"/>
          <w:b/>
          <w:bCs/>
        </w:rPr>
        <w:t>2018</w:t>
      </w:r>
      <w:r w:rsidRPr="00DF6987">
        <w:rPr>
          <w:rFonts w:ascii="Arial" w:hAnsi="Arial" w:cs="Arial"/>
          <w:noProof/>
        </w:rPr>
        <w:t xml:space="preserve"> </w:t>
      </w:r>
    </w:p>
    <w:tbl>
      <w:tblPr>
        <w:tblStyle w:val="TableGrid"/>
        <w:tblW w:w="0" w:type="auto"/>
        <w:tblInd w:w="108" w:type="dxa"/>
        <w:tblLayout w:type="fixed"/>
        <w:tblLook w:val="04A0"/>
      </w:tblPr>
      <w:tblGrid>
        <w:gridCol w:w="9072"/>
      </w:tblGrid>
      <w:tr w:rsidR="00CD4514" w:rsidRPr="00477F96" w:rsidTr="00DF6987">
        <w:tc>
          <w:tcPr>
            <w:tcW w:w="9072" w:type="dxa"/>
          </w:tcPr>
          <w:p w:rsidR="00CD4514" w:rsidRPr="00477F96" w:rsidRDefault="00CD4514" w:rsidP="00477F96">
            <w:pPr>
              <w:jc w:val="center"/>
              <w:rPr>
                <w:rFonts w:ascii="Times New Roman" w:hAnsi="Times New Roman" w:cs="Times New Roman"/>
                <w:noProof/>
              </w:rPr>
            </w:pPr>
            <w:r w:rsidRPr="00477F96">
              <w:rPr>
                <w:rFonts w:ascii="Times New Roman" w:hAnsi="Times New Roman" w:cs="Times New Roman"/>
                <w:noProof/>
              </w:rPr>
              <w:drawing>
                <wp:inline distT="0" distB="0" distL="0" distR="0">
                  <wp:extent cx="5666133" cy="2814761"/>
                  <wp:effectExtent l="19050" t="0" r="0" b="0"/>
                  <wp:docPr id="5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tc>
      </w:tr>
    </w:tbl>
    <w:p w:rsidR="00CD4514" w:rsidRDefault="00CD4514" w:rsidP="00477F96">
      <w:pPr>
        <w:spacing w:after="0" w:line="240" w:lineRule="auto"/>
        <w:jc w:val="center"/>
        <w:rPr>
          <w:rFonts w:ascii="Times New Roman" w:hAnsi="Times New Roman" w:cs="Times New Roman"/>
          <w:noProof/>
        </w:rPr>
      </w:pPr>
    </w:p>
    <w:p w:rsidR="008B7485" w:rsidRDefault="008B7485" w:rsidP="00477F96">
      <w:pPr>
        <w:spacing w:after="0" w:line="240" w:lineRule="auto"/>
        <w:jc w:val="center"/>
        <w:rPr>
          <w:rFonts w:ascii="Times New Roman" w:hAnsi="Times New Roman" w:cs="Times New Roman"/>
          <w:noProof/>
        </w:rPr>
      </w:pPr>
    </w:p>
    <w:p w:rsidR="00B868A9" w:rsidRPr="00477F96" w:rsidRDefault="00B868A9" w:rsidP="00477F96">
      <w:pPr>
        <w:spacing w:after="0" w:line="240" w:lineRule="auto"/>
        <w:jc w:val="center"/>
        <w:rPr>
          <w:rFonts w:ascii="Times New Roman" w:hAnsi="Times New Roman" w:cs="Times New Roman"/>
          <w:noProof/>
        </w:rPr>
      </w:pPr>
    </w:p>
    <w:p w:rsidR="00CD4514" w:rsidRPr="00477F96" w:rsidRDefault="00CD4514" w:rsidP="00477F96">
      <w:pPr>
        <w:spacing w:after="0" w:line="240" w:lineRule="auto"/>
        <w:jc w:val="center"/>
        <w:rPr>
          <w:rFonts w:ascii="Times New Roman" w:hAnsi="Times New Roman" w:cs="Times New Roman"/>
        </w:rPr>
      </w:pPr>
    </w:p>
    <w:p w:rsidR="00CD4514" w:rsidRPr="00477F96" w:rsidRDefault="00CD4514" w:rsidP="00477F96">
      <w:pPr>
        <w:spacing w:after="0" w:line="240" w:lineRule="auto"/>
        <w:jc w:val="center"/>
        <w:rPr>
          <w:rFonts w:ascii="Times New Roman" w:hAnsi="Times New Roman" w:cs="Times New Roman"/>
        </w:rPr>
      </w:pPr>
    </w:p>
    <w:p w:rsidR="00CD4514" w:rsidRPr="009761A6" w:rsidRDefault="008B7485" w:rsidP="008B7485">
      <w:pPr>
        <w:spacing w:after="0" w:line="240" w:lineRule="auto"/>
        <w:ind w:right="-170"/>
        <w:rPr>
          <w:rStyle w:val="hps"/>
          <w:rFonts w:ascii="Times New Roman" w:hAnsi="Times New Roman" w:cs="Times New Roman"/>
          <w:b/>
          <w:bCs/>
          <w:sz w:val="24"/>
          <w:szCs w:val="24"/>
        </w:rPr>
      </w:pPr>
      <w:r w:rsidRPr="009761A6">
        <w:rPr>
          <w:rStyle w:val="hps"/>
          <w:rFonts w:ascii="Times New Roman" w:hAnsi="Times New Roman" w:cs="Times New Roman"/>
          <w:b/>
          <w:bCs/>
          <w:sz w:val="24"/>
          <w:szCs w:val="24"/>
        </w:rPr>
        <w:lastRenderedPageBreak/>
        <w:t xml:space="preserve">4.2 </w:t>
      </w:r>
      <w:r w:rsidR="00CD4514" w:rsidRPr="009761A6">
        <w:rPr>
          <w:rStyle w:val="hps"/>
          <w:rFonts w:ascii="Times New Roman" w:hAnsi="Times New Roman" w:cs="Times New Roman"/>
          <w:b/>
          <w:bCs/>
          <w:sz w:val="24"/>
          <w:szCs w:val="24"/>
        </w:rPr>
        <w:t>International Investment Position (IIP)</w:t>
      </w:r>
    </w:p>
    <w:p w:rsidR="00CD4514" w:rsidRPr="00477F96" w:rsidRDefault="00CD4514" w:rsidP="008B7485">
      <w:pPr>
        <w:spacing w:after="0" w:line="240" w:lineRule="auto"/>
        <w:jc w:val="both"/>
        <w:rPr>
          <w:rFonts w:ascii="Times New Roman" w:hAnsi="Times New Roman" w:cs="Times New Roman"/>
          <w:sz w:val="24"/>
          <w:szCs w:val="24"/>
          <w:rtl/>
        </w:rPr>
      </w:pPr>
      <w:r w:rsidRPr="00477F96">
        <w:rPr>
          <w:rFonts w:ascii="Times New Roman" w:hAnsi="Times New Roman" w:cs="Times New Roman"/>
          <w:b/>
          <w:bCs/>
          <w:sz w:val="24"/>
          <w:szCs w:val="24"/>
        </w:rPr>
        <w:t xml:space="preserve">The decline of the value in currency and deposits in Palestine by 8.7% at the end of 2018, reaching USD 3,884 million, </w:t>
      </w:r>
      <w:r w:rsidRPr="00477F96">
        <w:rPr>
          <w:rFonts w:ascii="Times New Roman" w:hAnsi="Times New Roman" w:cs="Times New Roman"/>
          <w:sz w:val="24"/>
          <w:szCs w:val="24"/>
        </w:rPr>
        <w:t>was the main reason for the decrease in the value of total stocks of the Palestinian assets in abroad. As a result, the net international investment position value declined.</w:t>
      </w:r>
    </w:p>
    <w:p w:rsidR="00CD4514" w:rsidRPr="00477F96" w:rsidRDefault="008B7485" w:rsidP="008B7485">
      <w:pPr>
        <w:tabs>
          <w:tab w:val="left" w:pos="1978"/>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r>
    </w:p>
    <w:p w:rsidR="00CD4514" w:rsidRPr="00477F96" w:rsidRDefault="00CD4514" w:rsidP="008B7485">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stock value of the foreign direct investment in Palestine is more than the stock value of the direct investment aboard for Palestinians</w:t>
      </w:r>
      <w:r w:rsidRPr="00477F96">
        <w:rPr>
          <w:rFonts w:ascii="Times New Roman" w:hAnsi="Times New Roman" w:cs="Times New Roman"/>
          <w:sz w:val="24"/>
          <w:szCs w:val="24"/>
        </w:rPr>
        <w:t>, during 2018; the stock value of the foreign direct investment in Palestine reached USD 2,721 million, whereas stock value of the direct investment abroad for Palestinians reached USD 347 million.</w:t>
      </w:r>
    </w:p>
    <w:p w:rsidR="00CD4514" w:rsidRPr="00477F96" w:rsidRDefault="00CD4514" w:rsidP="008B7485">
      <w:pPr>
        <w:spacing w:after="0" w:line="240" w:lineRule="auto"/>
        <w:jc w:val="both"/>
        <w:rPr>
          <w:rFonts w:ascii="Times New Roman" w:hAnsi="Times New Roman" w:cs="Times New Roman"/>
          <w:b/>
          <w:bCs/>
          <w:sz w:val="24"/>
          <w:szCs w:val="24"/>
          <w:rtl/>
        </w:rPr>
      </w:pPr>
    </w:p>
    <w:p w:rsidR="00CD4514" w:rsidRPr="00477F96" w:rsidRDefault="00CD4514" w:rsidP="008B7485">
      <w:pPr>
        <w:spacing w:after="0" w:line="240" w:lineRule="auto"/>
        <w:jc w:val="both"/>
        <w:rPr>
          <w:rFonts w:ascii="Times New Roman" w:hAnsi="Times New Roman" w:cs="Times New Roman"/>
          <w:sz w:val="24"/>
          <w:szCs w:val="24"/>
          <w:rtl/>
          <w:lang w:val="en-US"/>
        </w:rPr>
      </w:pPr>
      <w:r w:rsidRPr="00477F96">
        <w:rPr>
          <w:rFonts w:ascii="Times New Roman" w:hAnsi="Times New Roman" w:cs="Times New Roman"/>
          <w:b/>
          <w:bCs/>
          <w:sz w:val="24"/>
          <w:szCs w:val="24"/>
        </w:rPr>
        <w:t xml:space="preserve">The net international investment position (IIP) value for Palestine decreased by 2.8% at the end of 2018, reaching USD 1,659 million, compared to USD 1,706 million at the end of 2017, </w:t>
      </w:r>
      <w:r w:rsidRPr="00477F96">
        <w:rPr>
          <w:rFonts w:ascii="Times New Roman" w:hAnsi="Times New Roman" w:cs="Times New Roman"/>
          <w:sz w:val="24"/>
          <w:szCs w:val="24"/>
        </w:rPr>
        <w:t xml:space="preserve">due to the decrease of the value of total stocks of the Palestinian assets abroad despite the decrease of the value of total stocks of foreign liabilities in Palestine at the end of 2018. </w:t>
      </w:r>
      <w:r w:rsidRPr="00477F96">
        <w:rPr>
          <w:rFonts w:ascii="Times New Roman" w:hAnsi="Times New Roman" w:cs="Times New Roman"/>
          <w:sz w:val="24"/>
          <w:szCs w:val="24"/>
          <w:rtl/>
        </w:rPr>
        <w:t xml:space="preserve"> </w:t>
      </w:r>
      <w:r w:rsidRPr="00477F96">
        <w:rPr>
          <w:rFonts w:ascii="Times New Roman" w:hAnsi="Times New Roman" w:cs="Times New Roman"/>
          <w:sz w:val="24"/>
          <w:szCs w:val="24"/>
        </w:rPr>
        <w:t xml:space="preserve">(See table 12).  </w:t>
      </w:r>
    </w:p>
    <w:p w:rsidR="00CD4514" w:rsidRPr="00477F96" w:rsidRDefault="00CD4514" w:rsidP="00477F96">
      <w:pPr>
        <w:spacing w:after="0" w:line="240" w:lineRule="auto"/>
        <w:jc w:val="both"/>
        <w:rPr>
          <w:rFonts w:ascii="Times New Roman" w:hAnsi="Times New Roman" w:cs="Times New Roman"/>
          <w:sz w:val="28"/>
          <w:szCs w:val="28"/>
        </w:rPr>
      </w:pPr>
    </w:p>
    <w:p w:rsidR="00CD4514" w:rsidRPr="008B7485" w:rsidRDefault="00CD4514" w:rsidP="008B7485">
      <w:pPr>
        <w:spacing w:after="0" w:line="240" w:lineRule="auto"/>
        <w:jc w:val="center"/>
        <w:rPr>
          <w:rFonts w:ascii="Arial" w:hAnsi="Arial" w:cs="Arial"/>
          <w:b/>
          <w:bCs/>
        </w:rPr>
      </w:pPr>
      <w:r w:rsidRPr="008B7485">
        <w:rPr>
          <w:rFonts w:ascii="Arial" w:hAnsi="Arial" w:cs="Arial"/>
          <w:b/>
          <w:bCs/>
        </w:rPr>
        <w:t xml:space="preserve">Table 12: </w:t>
      </w:r>
      <w:r w:rsidRPr="008B7485">
        <w:rPr>
          <w:rFonts w:ascii="Arial" w:hAnsi="Arial" w:cs="Arial"/>
          <w:b/>
          <w:bCs/>
          <w:lang w:eastAsia="ar-SA"/>
        </w:rPr>
        <w:t>International Investment Position (IIP) in Palestine</w:t>
      </w:r>
      <w:r w:rsidR="00EF105D">
        <w:rPr>
          <w:rFonts w:ascii="Arial" w:hAnsi="Arial" w:cs="Arial"/>
          <w:b/>
          <w:bCs/>
          <w:lang w:eastAsia="ar-SA"/>
        </w:rPr>
        <w:t xml:space="preserve"> at the end of the </w:t>
      </w:r>
      <w:proofErr w:type="gramStart"/>
      <w:r w:rsidR="00EF105D">
        <w:rPr>
          <w:rFonts w:ascii="Arial" w:hAnsi="Arial" w:cs="Arial"/>
          <w:b/>
          <w:bCs/>
          <w:lang w:eastAsia="ar-SA"/>
        </w:rPr>
        <w:t>years  2013</w:t>
      </w:r>
      <w:proofErr w:type="gramEnd"/>
      <w:r w:rsidR="00EF105D">
        <w:rPr>
          <w:rFonts w:ascii="Arial" w:hAnsi="Arial" w:cs="Arial"/>
          <w:b/>
          <w:bCs/>
          <w:lang w:eastAsia="ar-SA"/>
        </w:rPr>
        <w:t>-</w:t>
      </w:r>
      <w:r w:rsidRPr="008B7485">
        <w:rPr>
          <w:rFonts w:ascii="Arial" w:hAnsi="Arial" w:cs="Arial"/>
          <w:b/>
          <w:bCs/>
          <w:lang w:eastAsia="ar-SA"/>
        </w:rPr>
        <w:t>2018</w:t>
      </w:r>
    </w:p>
    <w:p w:rsidR="00CD4514" w:rsidRPr="00477F96" w:rsidRDefault="00CD4514" w:rsidP="00477F96">
      <w:pPr>
        <w:tabs>
          <w:tab w:val="left" w:pos="3288"/>
        </w:tabs>
        <w:spacing w:after="0" w:line="240" w:lineRule="auto"/>
        <w:rPr>
          <w:rFonts w:ascii="Times New Roman" w:hAnsi="Times New Roman" w:cs="Times New Roman"/>
          <w:b/>
          <w:bCs/>
          <w:sz w:val="10"/>
          <w:szCs w:val="10"/>
        </w:rPr>
      </w:pPr>
    </w:p>
    <w:p w:rsidR="00CD4514" w:rsidRPr="00A74D0D" w:rsidRDefault="008B7485" w:rsidP="00477F96">
      <w:pPr>
        <w:tabs>
          <w:tab w:val="left" w:pos="3288"/>
        </w:tabs>
        <w:spacing w:after="0" w:line="240" w:lineRule="auto"/>
        <w:ind w:hanging="142"/>
        <w:rPr>
          <w:rFonts w:ascii="Arial" w:hAnsi="Arial" w:cs="Arial"/>
          <w:sz w:val="18"/>
          <w:szCs w:val="18"/>
        </w:rPr>
      </w:pPr>
      <w:r w:rsidRPr="00A74D0D">
        <w:rPr>
          <w:rFonts w:ascii="Arial" w:hAnsi="Arial" w:cs="Arial"/>
          <w:sz w:val="18"/>
          <w:szCs w:val="18"/>
        </w:rPr>
        <w:t xml:space="preserve">   </w:t>
      </w:r>
      <w:r w:rsidR="00CD4514" w:rsidRPr="00A74D0D">
        <w:rPr>
          <w:rFonts w:ascii="Arial" w:hAnsi="Arial" w:cs="Arial"/>
          <w:sz w:val="18"/>
          <w:szCs w:val="18"/>
        </w:rPr>
        <w:t>Value in million USD</w:t>
      </w:r>
      <w:r w:rsidR="00CD4514" w:rsidRPr="00A74D0D">
        <w:rPr>
          <w:rFonts w:ascii="Arial" w:hAnsi="Arial" w:cs="Arial"/>
          <w:sz w:val="18"/>
          <w:szCs w:val="18"/>
        </w:rPr>
        <w:tab/>
      </w:r>
    </w:p>
    <w:tbl>
      <w:tblPr>
        <w:tblW w:w="9072" w:type="dxa"/>
        <w:jc w:val="center"/>
        <w:tblLook w:val="04A0"/>
      </w:tblPr>
      <w:tblGrid>
        <w:gridCol w:w="3708"/>
        <w:gridCol w:w="895"/>
        <w:gridCol w:w="894"/>
        <w:gridCol w:w="894"/>
        <w:gridCol w:w="894"/>
        <w:gridCol w:w="894"/>
        <w:gridCol w:w="893"/>
      </w:tblGrid>
      <w:tr w:rsidR="00CD4514" w:rsidRPr="00A74D0D" w:rsidTr="008B7485">
        <w:trPr>
          <w:trHeight w:val="340"/>
          <w:jc w:val="center"/>
        </w:trPr>
        <w:tc>
          <w:tcPr>
            <w:tcW w:w="2043" w:type="pct"/>
            <w:tcBorders>
              <w:top w:val="single" w:sz="12" w:space="0" w:color="auto"/>
              <w:bottom w:val="single" w:sz="12" w:space="0" w:color="auto"/>
            </w:tcBorders>
            <w:vAlign w:val="center"/>
          </w:tcPr>
          <w:p w:rsidR="00CD4514" w:rsidRPr="008361CC" w:rsidRDefault="00CD4514" w:rsidP="00477F96">
            <w:pPr>
              <w:pStyle w:val="Footer"/>
              <w:tabs>
                <w:tab w:val="clear" w:pos="4153"/>
                <w:tab w:val="clear" w:pos="8306"/>
              </w:tabs>
              <w:jc w:val="center"/>
              <w:rPr>
                <w:rFonts w:ascii="Arial" w:hAnsi="Arial" w:cs="Arial"/>
                <w:b/>
                <w:bCs/>
                <w:sz w:val="18"/>
                <w:szCs w:val="18"/>
              </w:rPr>
            </w:pPr>
            <w:r w:rsidRPr="008361CC">
              <w:rPr>
                <w:rFonts w:ascii="Arial" w:hAnsi="Arial" w:cs="Arial"/>
                <w:b/>
                <w:bCs/>
                <w:sz w:val="18"/>
                <w:szCs w:val="18"/>
              </w:rPr>
              <w:t>Item</w:t>
            </w:r>
          </w:p>
        </w:tc>
        <w:tc>
          <w:tcPr>
            <w:tcW w:w="493" w:type="pct"/>
            <w:tcBorders>
              <w:top w:val="single" w:sz="12" w:space="0" w:color="auto"/>
              <w:bottom w:val="single" w:sz="12" w:space="0" w:color="auto"/>
            </w:tcBorders>
            <w:vAlign w:val="center"/>
          </w:tcPr>
          <w:p w:rsidR="00CD4514" w:rsidRPr="008361CC" w:rsidRDefault="00CD4514" w:rsidP="00477F96">
            <w:pPr>
              <w:spacing w:after="0" w:line="240" w:lineRule="auto"/>
              <w:jc w:val="center"/>
              <w:rPr>
                <w:rFonts w:ascii="Arial" w:hAnsi="Arial" w:cs="Arial"/>
                <w:b/>
                <w:bCs/>
                <w:sz w:val="18"/>
                <w:szCs w:val="18"/>
              </w:rPr>
            </w:pPr>
            <w:r w:rsidRPr="008361CC">
              <w:rPr>
                <w:rFonts w:ascii="Arial" w:hAnsi="Arial" w:cs="Arial"/>
                <w:b/>
                <w:bCs/>
                <w:sz w:val="18"/>
                <w:szCs w:val="18"/>
                <w:rtl/>
              </w:rPr>
              <w:t>2013</w:t>
            </w:r>
          </w:p>
        </w:tc>
        <w:tc>
          <w:tcPr>
            <w:tcW w:w="493" w:type="pct"/>
            <w:tcBorders>
              <w:top w:val="single" w:sz="12" w:space="0" w:color="auto"/>
              <w:bottom w:val="single" w:sz="12" w:space="0" w:color="auto"/>
            </w:tcBorders>
            <w:vAlign w:val="center"/>
          </w:tcPr>
          <w:p w:rsidR="00CD4514" w:rsidRPr="008361CC" w:rsidRDefault="00CD4514" w:rsidP="00477F96">
            <w:pPr>
              <w:spacing w:after="0" w:line="240" w:lineRule="auto"/>
              <w:jc w:val="center"/>
              <w:rPr>
                <w:rFonts w:ascii="Arial" w:hAnsi="Arial" w:cs="Arial"/>
                <w:b/>
                <w:bCs/>
                <w:sz w:val="18"/>
                <w:szCs w:val="18"/>
                <w:rtl/>
              </w:rPr>
            </w:pPr>
            <w:r w:rsidRPr="008361CC">
              <w:rPr>
                <w:rFonts w:ascii="Arial" w:hAnsi="Arial" w:cs="Arial"/>
                <w:b/>
                <w:bCs/>
                <w:sz w:val="18"/>
                <w:szCs w:val="18"/>
                <w:rtl/>
              </w:rPr>
              <w:t>2014</w:t>
            </w:r>
          </w:p>
        </w:tc>
        <w:tc>
          <w:tcPr>
            <w:tcW w:w="493" w:type="pct"/>
            <w:tcBorders>
              <w:top w:val="single" w:sz="12" w:space="0" w:color="auto"/>
              <w:bottom w:val="single" w:sz="12" w:space="0" w:color="auto"/>
            </w:tcBorders>
            <w:vAlign w:val="center"/>
          </w:tcPr>
          <w:p w:rsidR="00CD4514" w:rsidRPr="008361CC" w:rsidRDefault="00CD4514" w:rsidP="00477F96">
            <w:pPr>
              <w:spacing w:after="0" w:line="240" w:lineRule="auto"/>
              <w:jc w:val="center"/>
              <w:rPr>
                <w:rFonts w:ascii="Arial" w:hAnsi="Arial" w:cs="Arial"/>
                <w:b/>
                <w:bCs/>
                <w:sz w:val="18"/>
                <w:szCs w:val="18"/>
                <w:rtl/>
              </w:rPr>
            </w:pPr>
            <w:r w:rsidRPr="008361CC">
              <w:rPr>
                <w:rFonts w:ascii="Arial" w:hAnsi="Arial" w:cs="Arial"/>
                <w:b/>
                <w:bCs/>
                <w:sz w:val="18"/>
                <w:szCs w:val="18"/>
                <w:rtl/>
              </w:rPr>
              <w:t>2015</w:t>
            </w:r>
          </w:p>
        </w:tc>
        <w:tc>
          <w:tcPr>
            <w:tcW w:w="493" w:type="pct"/>
            <w:tcBorders>
              <w:top w:val="single" w:sz="12" w:space="0" w:color="auto"/>
              <w:bottom w:val="single" w:sz="12" w:space="0" w:color="auto"/>
            </w:tcBorders>
            <w:vAlign w:val="center"/>
          </w:tcPr>
          <w:p w:rsidR="00CD4514" w:rsidRPr="008361CC" w:rsidRDefault="00CD4514" w:rsidP="00477F96">
            <w:pPr>
              <w:spacing w:after="0" w:line="240" w:lineRule="auto"/>
              <w:jc w:val="center"/>
              <w:rPr>
                <w:rFonts w:ascii="Arial" w:hAnsi="Arial" w:cs="Arial"/>
                <w:b/>
                <w:bCs/>
                <w:sz w:val="18"/>
                <w:szCs w:val="18"/>
                <w:rtl/>
              </w:rPr>
            </w:pPr>
            <w:r w:rsidRPr="008361CC">
              <w:rPr>
                <w:rFonts w:ascii="Arial" w:hAnsi="Arial" w:cs="Arial"/>
                <w:b/>
                <w:bCs/>
                <w:sz w:val="18"/>
                <w:szCs w:val="18"/>
                <w:rtl/>
              </w:rPr>
              <w:t>2016</w:t>
            </w:r>
          </w:p>
        </w:tc>
        <w:tc>
          <w:tcPr>
            <w:tcW w:w="493" w:type="pct"/>
            <w:tcBorders>
              <w:top w:val="single" w:sz="12" w:space="0" w:color="auto"/>
              <w:bottom w:val="single" w:sz="12" w:space="0" w:color="auto"/>
            </w:tcBorders>
            <w:vAlign w:val="center"/>
          </w:tcPr>
          <w:p w:rsidR="00CD4514" w:rsidRPr="008361CC" w:rsidRDefault="00CD4514" w:rsidP="00477F96">
            <w:pPr>
              <w:bidi/>
              <w:spacing w:after="0" w:line="240" w:lineRule="auto"/>
              <w:jc w:val="center"/>
              <w:rPr>
                <w:rFonts w:ascii="Arial" w:hAnsi="Arial" w:cs="Arial"/>
                <w:b/>
                <w:bCs/>
                <w:sz w:val="18"/>
                <w:szCs w:val="18"/>
                <w:rtl/>
              </w:rPr>
            </w:pPr>
            <w:r w:rsidRPr="008361CC">
              <w:rPr>
                <w:rFonts w:ascii="Arial" w:hAnsi="Arial" w:cs="Arial"/>
                <w:b/>
                <w:bCs/>
                <w:sz w:val="18"/>
                <w:szCs w:val="18"/>
                <w:rtl/>
              </w:rPr>
              <w:t>2017</w:t>
            </w:r>
          </w:p>
        </w:tc>
        <w:tc>
          <w:tcPr>
            <w:tcW w:w="492" w:type="pct"/>
            <w:tcBorders>
              <w:top w:val="single" w:sz="12" w:space="0" w:color="auto"/>
              <w:bottom w:val="single" w:sz="12" w:space="0" w:color="auto"/>
            </w:tcBorders>
            <w:vAlign w:val="center"/>
          </w:tcPr>
          <w:p w:rsidR="00CD4514" w:rsidRPr="008361CC" w:rsidRDefault="00835DFD" w:rsidP="00477F96">
            <w:pPr>
              <w:bidi/>
              <w:spacing w:after="0" w:line="240" w:lineRule="auto"/>
              <w:jc w:val="center"/>
              <w:rPr>
                <w:rFonts w:ascii="Arial" w:hAnsi="Arial" w:cs="Arial"/>
                <w:b/>
                <w:bCs/>
                <w:sz w:val="18"/>
                <w:szCs w:val="18"/>
                <w:rtl/>
              </w:rPr>
            </w:pPr>
            <w:r w:rsidRPr="008361CC">
              <w:rPr>
                <w:rFonts w:ascii="Arial" w:hAnsi="Arial" w:cs="Arial"/>
                <w:b/>
                <w:bCs/>
                <w:sz w:val="18"/>
                <w:szCs w:val="18"/>
              </w:rPr>
              <w:t>2018*</w:t>
            </w:r>
          </w:p>
        </w:tc>
      </w:tr>
      <w:tr w:rsidR="00CD4514" w:rsidRPr="00A74D0D" w:rsidTr="008B7485">
        <w:trPr>
          <w:trHeight w:val="340"/>
          <w:jc w:val="center"/>
        </w:trPr>
        <w:tc>
          <w:tcPr>
            <w:tcW w:w="2043" w:type="pct"/>
            <w:tcBorders>
              <w:top w:val="single" w:sz="12" w:space="0" w:color="auto"/>
            </w:tcBorders>
            <w:vAlign w:val="center"/>
          </w:tcPr>
          <w:p w:rsidR="00CD4514" w:rsidRPr="008361CC" w:rsidRDefault="00CD4514" w:rsidP="00477F96">
            <w:pPr>
              <w:spacing w:after="0" w:line="240" w:lineRule="auto"/>
              <w:rPr>
                <w:rFonts w:ascii="Arial" w:eastAsia="Times New Roman" w:hAnsi="Arial" w:cs="Arial"/>
                <w:b/>
                <w:bCs/>
                <w:sz w:val="18"/>
                <w:szCs w:val="18"/>
                <w:lang w:eastAsia="ar-SA"/>
              </w:rPr>
            </w:pPr>
            <w:r w:rsidRPr="008361CC">
              <w:rPr>
                <w:rFonts w:ascii="Arial" w:eastAsia="Times New Roman" w:hAnsi="Arial" w:cs="Arial"/>
                <w:b/>
                <w:bCs/>
                <w:sz w:val="18"/>
                <w:szCs w:val="18"/>
                <w:lang w:eastAsia="ar-SA"/>
              </w:rPr>
              <w:t>International investment position (net)**</w:t>
            </w:r>
          </w:p>
        </w:tc>
        <w:tc>
          <w:tcPr>
            <w:tcW w:w="493" w:type="pct"/>
            <w:tcBorders>
              <w:top w:val="single" w:sz="12" w:space="0" w:color="auto"/>
            </w:tcBorders>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880</w:t>
            </w:r>
          </w:p>
        </w:tc>
        <w:tc>
          <w:tcPr>
            <w:tcW w:w="493" w:type="pct"/>
            <w:tcBorders>
              <w:top w:val="single" w:sz="12" w:space="0" w:color="auto"/>
            </w:tcBorders>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1,385</w:t>
            </w:r>
          </w:p>
        </w:tc>
        <w:tc>
          <w:tcPr>
            <w:tcW w:w="493" w:type="pct"/>
            <w:tcBorders>
              <w:top w:val="single" w:sz="12" w:space="0" w:color="auto"/>
            </w:tcBorders>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1,034</w:t>
            </w:r>
          </w:p>
        </w:tc>
        <w:tc>
          <w:tcPr>
            <w:tcW w:w="493" w:type="pct"/>
            <w:tcBorders>
              <w:top w:val="single" w:sz="12" w:space="0" w:color="auto"/>
            </w:tcBorders>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1,173</w:t>
            </w:r>
          </w:p>
        </w:tc>
        <w:tc>
          <w:tcPr>
            <w:tcW w:w="493" w:type="pct"/>
            <w:tcBorders>
              <w:top w:val="single" w:sz="12" w:space="0" w:color="auto"/>
            </w:tcBorders>
            <w:vAlign w:val="center"/>
          </w:tcPr>
          <w:p w:rsidR="00CD4514" w:rsidRPr="008361CC" w:rsidRDefault="00CD4514" w:rsidP="00477F96">
            <w:pPr>
              <w:spacing w:after="0" w:line="240" w:lineRule="auto"/>
              <w:ind w:firstLineChars="100" w:firstLine="181"/>
              <w:jc w:val="right"/>
              <w:rPr>
                <w:rFonts w:ascii="Arial" w:hAnsi="Arial" w:cs="Arial"/>
                <w:b/>
                <w:bCs/>
                <w:sz w:val="18"/>
                <w:szCs w:val="18"/>
              </w:rPr>
            </w:pPr>
            <w:r w:rsidRPr="008361CC">
              <w:rPr>
                <w:rFonts w:ascii="Arial" w:hAnsi="Arial" w:cs="Arial"/>
                <w:b/>
                <w:bCs/>
                <w:sz w:val="18"/>
                <w:szCs w:val="18"/>
              </w:rPr>
              <w:t>1,706</w:t>
            </w:r>
          </w:p>
        </w:tc>
        <w:tc>
          <w:tcPr>
            <w:tcW w:w="492" w:type="pct"/>
            <w:tcBorders>
              <w:top w:val="single" w:sz="12" w:space="0" w:color="auto"/>
            </w:tcBorders>
            <w:vAlign w:val="center"/>
          </w:tcPr>
          <w:p w:rsidR="00CD4514" w:rsidRPr="008361CC" w:rsidRDefault="00CD4514" w:rsidP="00477F96">
            <w:pPr>
              <w:spacing w:after="0" w:line="240" w:lineRule="auto"/>
              <w:ind w:firstLineChars="100" w:firstLine="181"/>
              <w:jc w:val="right"/>
              <w:rPr>
                <w:rFonts w:ascii="Arial" w:hAnsi="Arial" w:cs="Arial"/>
                <w:b/>
                <w:bCs/>
                <w:sz w:val="18"/>
                <w:szCs w:val="18"/>
              </w:rPr>
            </w:pPr>
            <w:r w:rsidRPr="008361CC">
              <w:rPr>
                <w:rFonts w:ascii="Arial" w:hAnsi="Arial" w:cs="Arial"/>
                <w:b/>
                <w:bCs/>
                <w:sz w:val="18"/>
                <w:szCs w:val="18"/>
              </w:rPr>
              <w:t>1,659</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b/>
                <w:bCs/>
                <w:sz w:val="18"/>
                <w:szCs w:val="18"/>
                <w:lang w:eastAsia="ar-SA"/>
              </w:rPr>
            </w:pPr>
            <w:r w:rsidRPr="008361CC">
              <w:rPr>
                <w:rFonts w:ascii="Arial" w:eastAsia="Times New Roman" w:hAnsi="Arial" w:cs="Arial"/>
                <w:b/>
                <w:bCs/>
                <w:sz w:val="18"/>
                <w:szCs w:val="18"/>
                <w:lang w:eastAsia="ar-SA"/>
              </w:rPr>
              <w:t xml:space="preserve">Total external assets </w:t>
            </w:r>
          </w:p>
        </w:tc>
        <w:tc>
          <w:tcPr>
            <w:tcW w:w="493" w:type="pct"/>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5,828</w:t>
            </w:r>
          </w:p>
        </w:tc>
        <w:tc>
          <w:tcPr>
            <w:tcW w:w="493" w:type="pct"/>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6,139</w:t>
            </w:r>
          </w:p>
        </w:tc>
        <w:tc>
          <w:tcPr>
            <w:tcW w:w="493" w:type="pct"/>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6,030</w:t>
            </w:r>
          </w:p>
        </w:tc>
        <w:tc>
          <w:tcPr>
            <w:tcW w:w="493" w:type="pct"/>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6,101</w:t>
            </w:r>
          </w:p>
        </w:tc>
        <w:tc>
          <w:tcPr>
            <w:tcW w:w="493" w:type="pct"/>
            <w:vAlign w:val="center"/>
          </w:tcPr>
          <w:p w:rsidR="00CD4514" w:rsidRPr="008361CC" w:rsidRDefault="00CD4514" w:rsidP="00477F96">
            <w:pPr>
              <w:spacing w:after="0" w:line="240" w:lineRule="auto"/>
              <w:ind w:firstLineChars="100" w:firstLine="181"/>
              <w:jc w:val="right"/>
              <w:rPr>
                <w:rFonts w:ascii="Arial" w:hAnsi="Arial" w:cs="Arial"/>
                <w:b/>
                <w:bCs/>
                <w:sz w:val="18"/>
                <w:szCs w:val="18"/>
              </w:rPr>
            </w:pPr>
            <w:r w:rsidRPr="008361CC">
              <w:rPr>
                <w:rFonts w:ascii="Arial" w:hAnsi="Arial" w:cs="Arial"/>
                <w:b/>
                <w:bCs/>
                <w:sz w:val="18"/>
                <w:szCs w:val="18"/>
              </w:rPr>
              <w:t>6,743</w:t>
            </w:r>
          </w:p>
        </w:tc>
        <w:tc>
          <w:tcPr>
            <w:tcW w:w="492" w:type="pct"/>
            <w:vAlign w:val="center"/>
          </w:tcPr>
          <w:p w:rsidR="00CD4514" w:rsidRPr="008361CC" w:rsidRDefault="00CD4514" w:rsidP="00477F96">
            <w:pPr>
              <w:spacing w:after="0" w:line="240" w:lineRule="auto"/>
              <w:ind w:firstLineChars="100" w:firstLine="181"/>
              <w:jc w:val="right"/>
              <w:rPr>
                <w:rFonts w:ascii="Arial" w:hAnsi="Arial" w:cs="Arial"/>
                <w:b/>
                <w:bCs/>
                <w:sz w:val="18"/>
                <w:szCs w:val="18"/>
              </w:rPr>
            </w:pPr>
            <w:r w:rsidRPr="008361CC">
              <w:rPr>
                <w:rFonts w:ascii="Arial" w:hAnsi="Arial" w:cs="Arial"/>
                <w:b/>
                <w:bCs/>
                <w:sz w:val="18"/>
                <w:szCs w:val="18"/>
              </w:rPr>
              <w:t>6,597</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sz w:val="18"/>
                <w:szCs w:val="18"/>
                <w:lang w:eastAsia="ar-SA"/>
              </w:rPr>
            </w:pPr>
            <w:r w:rsidRPr="008361CC">
              <w:rPr>
                <w:rFonts w:ascii="Arial" w:eastAsia="Times New Roman" w:hAnsi="Arial" w:cs="Arial"/>
                <w:sz w:val="18"/>
                <w:szCs w:val="18"/>
                <w:lang w:eastAsia="ar-SA"/>
              </w:rPr>
              <w:t>Foreign direct investment abroad</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171</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358</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445</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400</w:t>
            </w:r>
          </w:p>
        </w:tc>
        <w:tc>
          <w:tcPr>
            <w:tcW w:w="493"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356</w:t>
            </w:r>
          </w:p>
        </w:tc>
        <w:tc>
          <w:tcPr>
            <w:tcW w:w="492"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347</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sz w:val="18"/>
                <w:szCs w:val="18"/>
                <w:lang w:eastAsia="ar-SA"/>
              </w:rPr>
            </w:pPr>
            <w:r w:rsidRPr="008361CC">
              <w:rPr>
                <w:rFonts w:ascii="Arial" w:eastAsia="Times New Roman" w:hAnsi="Arial" w:cs="Arial"/>
                <w:sz w:val="18"/>
                <w:szCs w:val="18"/>
                <w:lang w:eastAsia="ar-SA"/>
              </w:rPr>
              <w:t>Portfolio investments abroad</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1,005</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1,172</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1,088</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1,112</w:t>
            </w:r>
          </w:p>
        </w:tc>
        <w:tc>
          <w:tcPr>
            <w:tcW w:w="493"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1,360</w:t>
            </w:r>
          </w:p>
        </w:tc>
        <w:tc>
          <w:tcPr>
            <w:tcW w:w="492"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1,451</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sz w:val="18"/>
                <w:szCs w:val="18"/>
                <w:lang w:eastAsia="ar-SA"/>
              </w:rPr>
            </w:pPr>
            <w:r w:rsidRPr="008361CC">
              <w:rPr>
                <w:rFonts w:ascii="Arial" w:eastAsia="Times New Roman" w:hAnsi="Arial" w:cs="Arial"/>
                <w:sz w:val="18"/>
                <w:szCs w:val="18"/>
                <w:lang w:eastAsia="ar-SA"/>
              </w:rPr>
              <w:t>Other investments abroad</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3,967</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3,937</w:t>
            </w:r>
          </w:p>
        </w:tc>
        <w:tc>
          <w:tcPr>
            <w:tcW w:w="493" w:type="pct"/>
            <w:vAlign w:val="center"/>
          </w:tcPr>
          <w:p w:rsidR="00CD4514" w:rsidRPr="008361CC" w:rsidRDefault="00CD4514" w:rsidP="00477F96">
            <w:pPr>
              <w:spacing w:after="0" w:line="240" w:lineRule="auto"/>
              <w:jc w:val="right"/>
              <w:rPr>
                <w:rFonts w:ascii="Arial" w:hAnsi="Arial" w:cs="Arial"/>
                <w:sz w:val="18"/>
                <w:szCs w:val="18"/>
                <w:rtl/>
              </w:rPr>
            </w:pPr>
            <w:r w:rsidRPr="008361CC">
              <w:rPr>
                <w:rFonts w:ascii="Arial" w:hAnsi="Arial" w:cs="Arial"/>
                <w:sz w:val="18"/>
                <w:szCs w:val="18"/>
              </w:rPr>
              <w:t>3,916</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4,276</w:t>
            </w:r>
          </w:p>
        </w:tc>
        <w:tc>
          <w:tcPr>
            <w:tcW w:w="493"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4,581</w:t>
            </w:r>
          </w:p>
        </w:tc>
        <w:tc>
          <w:tcPr>
            <w:tcW w:w="492"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4,261</w:t>
            </w:r>
          </w:p>
        </w:tc>
      </w:tr>
      <w:tr w:rsidR="00CD4514" w:rsidRPr="00A74D0D" w:rsidTr="008B7485">
        <w:trPr>
          <w:trHeight w:val="340"/>
          <w:jc w:val="center"/>
        </w:trPr>
        <w:tc>
          <w:tcPr>
            <w:tcW w:w="2043" w:type="pct"/>
            <w:vAlign w:val="center"/>
          </w:tcPr>
          <w:p w:rsidR="00CD4514" w:rsidRPr="008361CC" w:rsidRDefault="00CD4514" w:rsidP="00477F96">
            <w:pPr>
              <w:tabs>
                <w:tab w:val="left" w:pos="276"/>
              </w:tabs>
              <w:spacing w:after="0" w:line="240" w:lineRule="auto"/>
              <w:rPr>
                <w:rFonts w:ascii="Arial" w:eastAsia="Times New Roman" w:hAnsi="Arial" w:cs="Arial"/>
                <w:sz w:val="18"/>
                <w:szCs w:val="18"/>
                <w:rtl/>
                <w:lang w:eastAsia="ar-SA"/>
              </w:rPr>
            </w:pPr>
            <w:r w:rsidRPr="008361CC">
              <w:rPr>
                <w:rFonts w:ascii="Arial" w:eastAsia="Times New Roman" w:hAnsi="Arial" w:cs="Arial"/>
                <w:sz w:val="18"/>
                <w:szCs w:val="18"/>
                <w:lang w:eastAsia="ar-SA"/>
              </w:rPr>
              <w:t xml:space="preserve">      Of which: currency and deposits***</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3,923</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3,769</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3,768</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3,899</w:t>
            </w:r>
          </w:p>
        </w:tc>
        <w:tc>
          <w:tcPr>
            <w:tcW w:w="493"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4,252</w:t>
            </w:r>
          </w:p>
        </w:tc>
        <w:tc>
          <w:tcPr>
            <w:tcW w:w="492"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3,884</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sz w:val="18"/>
                <w:szCs w:val="18"/>
                <w:lang w:eastAsia="ar-SA"/>
              </w:rPr>
            </w:pPr>
            <w:r w:rsidRPr="008361CC">
              <w:rPr>
                <w:rFonts w:ascii="Arial" w:eastAsia="Times New Roman" w:hAnsi="Arial" w:cs="Arial"/>
                <w:sz w:val="18"/>
                <w:szCs w:val="18"/>
                <w:lang w:eastAsia="ar-SA"/>
              </w:rPr>
              <w:t>Reserve assets</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685</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672</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581</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313</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446</w:t>
            </w:r>
          </w:p>
        </w:tc>
        <w:tc>
          <w:tcPr>
            <w:tcW w:w="492"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538</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b/>
                <w:bCs/>
                <w:sz w:val="18"/>
                <w:szCs w:val="18"/>
                <w:lang w:eastAsia="ar-SA"/>
              </w:rPr>
            </w:pPr>
            <w:r w:rsidRPr="008361CC">
              <w:rPr>
                <w:rFonts w:ascii="Arial" w:eastAsia="Times New Roman" w:hAnsi="Arial" w:cs="Arial"/>
                <w:b/>
                <w:bCs/>
                <w:sz w:val="18"/>
                <w:szCs w:val="18"/>
                <w:lang w:eastAsia="ar-SA"/>
              </w:rPr>
              <w:t xml:space="preserve">Total foreign liabilities </w:t>
            </w:r>
          </w:p>
        </w:tc>
        <w:tc>
          <w:tcPr>
            <w:tcW w:w="493" w:type="pct"/>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4,948</w:t>
            </w:r>
          </w:p>
        </w:tc>
        <w:tc>
          <w:tcPr>
            <w:tcW w:w="493" w:type="pct"/>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4,754</w:t>
            </w:r>
          </w:p>
        </w:tc>
        <w:tc>
          <w:tcPr>
            <w:tcW w:w="493" w:type="pct"/>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4,996</w:t>
            </w:r>
          </w:p>
        </w:tc>
        <w:tc>
          <w:tcPr>
            <w:tcW w:w="493" w:type="pct"/>
            <w:vAlign w:val="center"/>
          </w:tcPr>
          <w:p w:rsidR="00CD4514" w:rsidRPr="008361CC" w:rsidRDefault="00CD4514" w:rsidP="00477F96">
            <w:pPr>
              <w:spacing w:after="0" w:line="240" w:lineRule="auto"/>
              <w:jc w:val="right"/>
              <w:rPr>
                <w:rFonts w:ascii="Arial" w:hAnsi="Arial" w:cs="Arial"/>
                <w:b/>
                <w:bCs/>
                <w:sz w:val="18"/>
                <w:szCs w:val="18"/>
              </w:rPr>
            </w:pPr>
            <w:r w:rsidRPr="008361CC">
              <w:rPr>
                <w:rFonts w:ascii="Arial" w:hAnsi="Arial" w:cs="Arial"/>
                <w:b/>
                <w:bCs/>
                <w:sz w:val="18"/>
                <w:szCs w:val="18"/>
              </w:rPr>
              <w:t>4,928</w:t>
            </w:r>
          </w:p>
        </w:tc>
        <w:tc>
          <w:tcPr>
            <w:tcW w:w="493" w:type="pct"/>
            <w:vAlign w:val="center"/>
          </w:tcPr>
          <w:p w:rsidR="00CD4514" w:rsidRPr="008361CC" w:rsidRDefault="00CD4514" w:rsidP="00477F96">
            <w:pPr>
              <w:spacing w:after="0" w:line="240" w:lineRule="auto"/>
              <w:ind w:firstLineChars="100" w:firstLine="181"/>
              <w:jc w:val="right"/>
              <w:rPr>
                <w:rFonts w:ascii="Arial" w:hAnsi="Arial" w:cs="Arial"/>
                <w:b/>
                <w:bCs/>
                <w:sz w:val="18"/>
                <w:szCs w:val="18"/>
              </w:rPr>
            </w:pPr>
            <w:r w:rsidRPr="008361CC">
              <w:rPr>
                <w:rFonts w:ascii="Arial" w:hAnsi="Arial" w:cs="Arial"/>
                <w:b/>
                <w:bCs/>
                <w:sz w:val="18"/>
                <w:szCs w:val="18"/>
              </w:rPr>
              <w:t>5,037</w:t>
            </w:r>
          </w:p>
        </w:tc>
        <w:tc>
          <w:tcPr>
            <w:tcW w:w="492" w:type="pct"/>
            <w:vAlign w:val="center"/>
          </w:tcPr>
          <w:p w:rsidR="00CD4514" w:rsidRPr="008361CC" w:rsidRDefault="00CD4514" w:rsidP="00477F96">
            <w:pPr>
              <w:spacing w:after="0" w:line="240" w:lineRule="auto"/>
              <w:ind w:firstLineChars="100" w:firstLine="181"/>
              <w:jc w:val="right"/>
              <w:rPr>
                <w:rFonts w:ascii="Arial" w:hAnsi="Arial" w:cs="Arial"/>
                <w:b/>
                <w:bCs/>
                <w:sz w:val="18"/>
                <w:szCs w:val="18"/>
              </w:rPr>
            </w:pPr>
            <w:r w:rsidRPr="008361CC">
              <w:rPr>
                <w:rFonts w:ascii="Arial" w:hAnsi="Arial" w:cs="Arial"/>
                <w:b/>
                <w:bCs/>
                <w:sz w:val="18"/>
                <w:szCs w:val="18"/>
              </w:rPr>
              <w:t>4,938</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sz w:val="18"/>
                <w:szCs w:val="18"/>
                <w:lang w:eastAsia="ar-SA"/>
              </w:rPr>
            </w:pPr>
            <w:r w:rsidRPr="008361CC">
              <w:rPr>
                <w:rFonts w:ascii="Arial" w:eastAsia="Times New Roman" w:hAnsi="Arial" w:cs="Arial"/>
                <w:sz w:val="18"/>
                <w:szCs w:val="18"/>
                <w:lang w:eastAsia="ar-SA"/>
              </w:rPr>
              <w:t>Foreign direct investment in Palestine</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2,459</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2,487</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2,511</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2,660</w:t>
            </w:r>
          </w:p>
        </w:tc>
        <w:tc>
          <w:tcPr>
            <w:tcW w:w="493"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2,647</w:t>
            </w:r>
          </w:p>
        </w:tc>
        <w:tc>
          <w:tcPr>
            <w:tcW w:w="492"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2,721</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sz w:val="18"/>
                <w:szCs w:val="18"/>
                <w:lang w:eastAsia="ar-SA"/>
              </w:rPr>
            </w:pPr>
            <w:r w:rsidRPr="008361CC">
              <w:rPr>
                <w:rFonts w:ascii="Arial" w:eastAsia="Times New Roman" w:hAnsi="Arial" w:cs="Arial"/>
                <w:sz w:val="18"/>
                <w:szCs w:val="18"/>
                <w:lang w:eastAsia="ar-SA"/>
              </w:rPr>
              <w:t>Foreign portfolio investments in Palestine</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768</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725</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821</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658</w:t>
            </w:r>
          </w:p>
        </w:tc>
        <w:tc>
          <w:tcPr>
            <w:tcW w:w="493"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703</w:t>
            </w:r>
          </w:p>
        </w:tc>
        <w:tc>
          <w:tcPr>
            <w:tcW w:w="492"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726</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sz w:val="18"/>
                <w:szCs w:val="18"/>
                <w:lang w:eastAsia="ar-SA"/>
              </w:rPr>
            </w:pPr>
            <w:r w:rsidRPr="008361CC">
              <w:rPr>
                <w:rFonts w:ascii="Arial" w:eastAsia="Times New Roman" w:hAnsi="Arial" w:cs="Arial"/>
                <w:sz w:val="18"/>
                <w:szCs w:val="18"/>
                <w:lang w:eastAsia="ar-SA"/>
              </w:rPr>
              <w:t>Foreign other investments in Palestine</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1,721</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1,542</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1,664</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1,610</w:t>
            </w:r>
          </w:p>
        </w:tc>
        <w:tc>
          <w:tcPr>
            <w:tcW w:w="493"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1,687</w:t>
            </w:r>
          </w:p>
        </w:tc>
        <w:tc>
          <w:tcPr>
            <w:tcW w:w="492"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1,491</w:t>
            </w:r>
          </w:p>
        </w:tc>
      </w:tr>
      <w:tr w:rsidR="00CD4514" w:rsidRPr="00A74D0D" w:rsidTr="008B7485">
        <w:trPr>
          <w:trHeight w:val="340"/>
          <w:jc w:val="center"/>
        </w:trPr>
        <w:tc>
          <w:tcPr>
            <w:tcW w:w="2043" w:type="pct"/>
            <w:vAlign w:val="center"/>
          </w:tcPr>
          <w:p w:rsidR="00CD4514" w:rsidRPr="008361CC" w:rsidRDefault="00CD4514" w:rsidP="00477F96">
            <w:pPr>
              <w:spacing w:after="0" w:line="240" w:lineRule="auto"/>
              <w:rPr>
                <w:rFonts w:ascii="Arial" w:eastAsia="Times New Roman" w:hAnsi="Arial" w:cs="Arial"/>
                <w:sz w:val="18"/>
                <w:szCs w:val="18"/>
                <w:lang w:eastAsia="ar-SA"/>
              </w:rPr>
            </w:pPr>
            <w:r w:rsidRPr="008361CC">
              <w:rPr>
                <w:rFonts w:ascii="Arial" w:eastAsia="Times New Roman" w:hAnsi="Arial" w:cs="Arial"/>
                <w:sz w:val="18"/>
                <w:szCs w:val="18"/>
                <w:lang w:eastAsia="ar-SA"/>
              </w:rPr>
              <w:t xml:space="preserve">     Of which: loans from abroad</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1,167</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1,138</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1,131</w:t>
            </w:r>
          </w:p>
        </w:tc>
        <w:tc>
          <w:tcPr>
            <w:tcW w:w="493" w:type="pct"/>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1,087</w:t>
            </w:r>
          </w:p>
        </w:tc>
        <w:tc>
          <w:tcPr>
            <w:tcW w:w="493"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1,073</w:t>
            </w:r>
          </w:p>
        </w:tc>
        <w:tc>
          <w:tcPr>
            <w:tcW w:w="492" w:type="pct"/>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1,063</w:t>
            </w:r>
          </w:p>
        </w:tc>
      </w:tr>
      <w:tr w:rsidR="00CD4514" w:rsidRPr="00A74D0D" w:rsidTr="008B7485">
        <w:trPr>
          <w:trHeight w:val="340"/>
          <w:jc w:val="center"/>
        </w:trPr>
        <w:tc>
          <w:tcPr>
            <w:tcW w:w="2043" w:type="pct"/>
            <w:tcBorders>
              <w:bottom w:val="single" w:sz="12" w:space="0" w:color="auto"/>
            </w:tcBorders>
            <w:vAlign w:val="center"/>
          </w:tcPr>
          <w:p w:rsidR="00CD4514" w:rsidRPr="008361CC" w:rsidRDefault="00CD4514" w:rsidP="00477F96">
            <w:pPr>
              <w:spacing w:after="0" w:line="240" w:lineRule="auto"/>
              <w:rPr>
                <w:rFonts w:ascii="Arial" w:eastAsia="Times New Roman" w:hAnsi="Arial" w:cs="Arial"/>
                <w:sz w:val="18"/>
                <w:szCs w:val="18"/>
                <w:rtl/>
                <w:lang w:eastAsia="ar-SA"/>
              </w:rPr>
            </w:pPr>
            <w:r w:rsidRPr="008361CC">
              <w:rPr>
                <w:rFonts w:ascii="Arial" w:eastAsia="Times New Roman" w:hAnsi="Arial" w:cs="Arial"/>
                <w:sz w:val="18"/>
                <w:szCs w:val="18"/>
                <w:lang w:eastAsia="ar-SA"/>
              </w:rPr>
              <w:t xml:space="preserve">     Of which: currency and deposits****</w:t>
            </w:r>
          </w:p>
        </w:tc>
        <w:tc>
          <w:tcPr>
            <w:tcW w:w="493" w:type="pct"/>
            <w:tcBorders>
              <w:bottom w:val="single" w:sz="12" w:space="0" w:color="auto"/>
            </w:tcBorders>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552</w:t>
            </w:r>
          </w:p>
        </w:tc>
        <w:tc>
          <w:tcPr>
            <w:tcW w:w="493" w:type="pct"/>
            <w:tcBorders>
              <w:bottom w:val="single" w:sz="12" w:space="0" w:color="auto"/>
            </w:tcBorders>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404</w:t>
            </w:r>
          </w:p>
        </w:tc>
        <w:tc>
          <w:tcPr>
            <w:tcW w:w="493" w:type="pct"/>
            <w:tcBorders>
              <w:bottom w:val="single" w:sz="12" w:space="0" w:color="auto"/>
            </w:tcBorders>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530</w:t>
            </w:r>
          </w:p>
        </w:tc>
        <w:tc>
          <w:tcPr>
            <w:tcW w:w="493" w:type="pct"/>
            <w:tcBorders>
              <w:bottom w:val="single" w:sz="12" w:space="0" w:color="auto"/>
            </w:tcBorders>
            <w:vAlign w:val="center"/>
          </w:tcPr>
          <w:p w:rsidR="00CD4514" w:rsidRPr="008361CC" w:rsidRDefault="00CD4514" w:rsidP="00477F96">
            <w:pPr>
              <w:spacing w:after="0" w:line="240" w:lineRule="auto"/>
              <w:jc w:val="right"/>
              <w:rPr>
                <w:rFonts w:ascii="Arial" w:hAnsi="Arial" w:cs="Arial"/>
                <w:sz w:val="18"/>
                <w:szCs w:val="18"/>
              </w:rPr>
            </w:pPr>
            <w:r w:rsidRPr="008361CC">
              <w:rPr>
                <w:rFonts w:ascii="Arial" w:hAnsi="Arial" w:cs="Arial"/>
                <w:sz w:val="18"/>
                <w:szCs w:val="18"/>
              </w:rPr>
              <w:t>496</w:t>
            </w:r>
          </w:p>
        </w:tc>
        <w:tc>
          <w:tcPr>
            <w:tcW w:w="493" w:type="pct"/>
            <w:tcBorders>
              <w:bottom w:val="single" w:sz="12" w:space="0" w:color="auto"/>
            </w:tcBorders>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603</w:t>
            </w:r>
          </w:p>
        </w:tc>
        <w:tc>
          <w:tcPr>
            <w:tcW w:w="492" w:type="pct"/>
            <w:tcBorders>
              <w:bottom w:val="single" w:sz="12" w:space="0" w:color="auto"/>
            </w:tcBorders>
            <w:vAlign w:val="center"/>
          </w:tcPr>
          <w:p w:rsidR="00CD4514" w:rsidRPr="008361CC" w:rsidRDefault="00CD4514" w:rsidP="00477F96">
            <w:pPr>
              <w:spacing w:after="0" w:line="240" w:lineRule="auto"/>
              <w:ind w:firstLineChars="100" w:firstLine="180"/>
              <w:jc w:val="right"/>
              <w:rPr>
                <w:rFonts w:ascii="Arial" w:hAnsi="Arial" w:cs="Arial"/>
                <w:sz w:val="18"/>
                <w:szCs w:val="18"/>
              </w:rPr>
            </w:pPr>
            <w:r w:rsidRPr="008361CC">
              <w:rPr>
                <w:rFonts w:ascii="Arial" w:hAnsi="Arial" w:cs="Arial"/>
                <w:sz w:val="18"/>
                <w:szCs w:val="18"/>
              </w:rPr>
              <w:t>417</w:t>
            </w:r>
          </w:p>
        </w:tc>
      </w:tr>
    </w:tbl>
    <w:p w:rsidR="00CD4514" w:rsidRPr="00477F96" w:rsidRDefault="008B7485" w:rsidP="009761A6">
      <w:pPr>
        <w:spacing w:after="0" w:line="240" w:lineRule="auto"/>
        <w:ind w:left="-113" w:right="-57"/>
        <w:rPr>
          <w:rFonts w:ascii="Times New Roman" w:hAnsi="Times New Roman" w:cs="Times New Roman"/>
          <w:sz w:val="18"/>
          <w:szCs w:val="18"/>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 xml:space="preserve">* Represents the data </w:t>
      </w:r>
      <w:r w:rsidR="00FA0800">
        <w:rPr>
          <w:rFonts w:ascii="Times New Roman" w:hAnsi="Times New Roman" w:cs="Times New Roman"/>
          <w:sz w:val="18"/>
          <w:szCs w:val="18"/>
        </w:rPr>
        <w:t>for</w:t>
      </w:r>
      <w:r w:rsidR="00E06EFD">
        <w:rPr>
          <w:rFonts w:ascii="Times New Roman" w:hAnsi="Times New Roman" w:cs="Times New Roman"/>
          <w:sz w:val="18"/>
          <w:szCs w:val="18"/>
        </w:rPr>
        <w:t xml:space="preserve"> end of </w:t>
      </w:r>
      <w:r w:rsidR="00CD4514" w:rsidRPr="00477F96">
        <w:rPr>
          <w:rFonts w:ascii="Times New Roman" w:hAnsi="Times New Roman" w:cs="Times New Roman"/>
          <w:sz w:val="18"/>
          <w:szCs w:val="18"/>
        </w:rPr>
        <w:t>fourth quarter 2018.</w:t>
      </w:r>
    </w:p>
    <w:p w:rsidR="00CD4514" w:rsidRPr="00477F96" w:rsidRDefault="008B7485" w:rsidP="00477F96">
      <w:pPr>
        <w:spacing w:after="0" w:line="240" w:lineRule="auto"/>
        <w:ind w:left="-113" w:right="-57"/>
        <w:rPr>
          <w:rFonts w:ascii="Times New Roman" w:hAnsi="Times New Roman" w:cs="Times New Roman"/>
          <w:sz w:val="18"/>
          <w:szCs w:val="18"/>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 xml:space="preserve">** International investment position (net) </w:t>
      </w:r>
      <w:proofErr w:type="gramStart"/>
      <w:r w:rsidR="00CD4514" w:rsidRPr="00477F96">
        <w:rPr>
          <w:rFonts w:ascii="Times New Roman" w:hAnsi="Times New Roman" w:cs="Times New Roman"/>
          <w:sz w:val="18"/>
          <w:szCs w:val="18"/>
        </w:rPr>
        <w:t>equals</w:t>
      </w:r>
      <w:proofErr w:type="gramEnd"/>
      <w:r w:rsidR="00CD4514" w:rsidRPr="00477F96">
        <w:rPr>
          <w:rFonts w:ascii="Times New Roman" w:hAnsi="Times New Roman" w:cs="Times New Roman"/>
          <w:sz w:val="18"/>
          <w:szCs w:val="18"/>
        </w:rPr>
        <w:t xml:space="preserve"> total external assets minus total foreign liabilities.</w:t>
      </w:r>
    </w:p>
    <w:p w:rsidR="00CD4514" w:rsidRPr="00477F96" w:rsidRDefault="008B7485" w:rsidP="00477F96">
      <w:pPr>
        <w:spacing w:after="0" w:line="240" w:lineRule="auto"/>
        <w:ind w:left="142" w:right="-57" w:hanging="284"/>
        <w:jc w:val="both"/>
        <w:rPr>
          <w:rFonts w:ascii="Times New Roman" w:hAnsi="Times New Roman" w:cs="Times New Roman"/>
          <w:sz w:val="18"/>
          <w:szCs w:val="18"/>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 xml:space="preserve">*** Currency and deposits: Include the </w:t>
      </w:r>
      <w:proofErr w:type="gramStart"/>
      <w:r w:rsidR="00CD4514" w:rsidRPr="00477F96">
        <w:rPr>
          <w:rFonts w:ascii="Times New Roman" w:hAnsi="Times New Roman" w:cs="Times New Roman"/>
          <w:sz w:val="18"/>
          <w:szCs w:val="18"/>
        </w:rPr>
        <w:t>residents</w:t>
      </w:r>
      <w:proofErr w:type="gramEnd"/>
      <w:r w:rsidR="00CD4514" w:rsidRPr="00477F96">
        <w:rPr>
          <w:rFonts w:ascii="Times New Roman" w:hAnsi="Times New Roman" w:cs="Times New Roman"/>
          <w:sz w:val="18"/>
          <w:szCs w:val="18"/>
        </w:rPr>
        <w:t xml:space="preserve"> deposits in banks abroad, in addition to foreign exchange in Palestinian economy.</w:t>
      </w:r>
    </w:p>
    <w:p w:rsidR="00CD4514" w:rsidRPr="00477F96" w:rsidRDefault="008B7485" w:rsidP="00477F96">
      <w:pPr>
        <w:spacing w:after="0" w:line="240" w:lineRule="auto"/>
        <w:ind w:left="-113" w:right="-57"/>
        <w:jc w:val="both"/>
        <w:rPr>
          <w:rFonts w:ascii="Times New Roman" w:hAnsi="Times New Roman" w:cs="Times New Roman"/>
          <w:sz w:val="18"/>
          <w:szCs w:val="18"/>
        </w:rPr>
      </w:pPr>
      <w:r>
        <w:rPr>
          <w:rFonts w:ascii="Times New Roman" w:hAnsi="Times New Roman" w:cs="Times New Roman"/>
          <w:sz w:val="18"/>
          <w:szCs w:val="18"/>
        </w:rPr>
        <w:t xml:space="preserve"> </w:t>
      </w:r>
      <w:r w:rsidR="00CD4514" w:rsidRPr="00477F96">
        <w:rPr>
          <w:rFonts w:ascii="Times New Roman" w:hAnsi="Times New Roman" w:cs="Times New Roman"/>
          <w:sz w:val="18"/>
          <w:szCs w:val="18"/>
        </w:rPr>
        <w:t>**** Currency and deposits: Include the deposits of non-residents deposited in resident banks.</w:t>
      </w:r>
      <w:r w:rsidR="00CD4514" w:rsidRPr="00477F96">
        <w:rPr>
          <w:rFonts w:ascii="Times New Roman" w:hAnsi="Times New Roman" w:cs="Times New Roman"/>
          <w:b/>
          <w:bCs/>
          <w:i/>
          <w:iCs/>
          <w:sz w:val="20"/>
          <w:szCs w:val="20"/>
        </w:rPr>
        <w:tab/>
      </w:r>
    </w:p>
    <w:p w:rsidR="00CD4514" w:rsidRDefault="00CD4514" w:rsidP="00477F96">
      <w:pPr>
        <w:spacing w:after="0" w:line="240" w:lineRule="auto"/>
        <w:ind w:left="-113" w:right="-57"/>
        <w:jc w:val="both"/>
        <w:rPr>
          <w:rFonts w:ascii="Times New Roman" w:hAnsi="Times New Roman" w:cs="Times New Roman"/>
          <w:sz w:val="18"/>
          <w:szCs w:val="18"/>
        </w:rPr>
      </w:pPr>
    </w:p>
    <w:p w:rsidR="00B868A9" w:rsidRPr="00477F96" w:rsidRDefault="00B868A9" w:rsidP="00477F96">
      <w:pPr>
        <w:spacing w:after="0" w:line="240" w:lineRule="auto"/>
        <w:ind w:left="-113" w:right="-57"/>
        <w:jc w:val="both"/>
        <w:rPr>
          <w:rFonts w:ascii="Times New Roman" w:hAnsi="Times New Roman" w:cs="Times New Roman"/>
          <w:sz w:val="18"/>
          <w:szCs w:val="18"/>
        </w:rPr>
      </w:pPr>
    </w:p>
    <w:p w:rsidR="00CD4514" w:rsidRPr="008B7485" w:rsidRDefault="008B7485" w:rsidP="00477F96">
      <w:pPr>
        <w:spacing w:after="0" w:line="240" w:lineRule="auto"/>
        <w:ind w:right="-57"/>
        <w:rPr>
          <w:rFonts w:ascii="Times New Roman" w:hAnsi="Times New Roman" w:cs="Times New Roman"/>
          <w:b/>
          <w:bCs/>
          <w:sz w:val="24"/>
          <w:szCs w:val="24"/>
        </w:rPr>
      </w:pPr>
      <w:r>
        <w:rPr>
          <w:rFonts w:ascii="Times New Roman" w:hAnsi="Times New Roman" w:cs="Times New Roman"/>
          <w:b/>
          <w:bCs/>
          <w:sz w:val="24"/>
          <w:szCs w:val="24"/>
        </w:rPr>
        <w:t xml:space="preserve">4.2.1 </w:t>
      </w:r>
      <w:r w:rsidR="00CD4514" w:rsidRPr="008B7485">
        <w:rPr>
          <w:rFonts w:ascii="Times New Roman" w:hAnsi="Times New Roman" w:cs="Times New Roman"/>
          <w:b/>
          <w:bCs/>
          <w:sz w:val="24"/>
          <w:szCs w:val="24"/>
        </w:rPr>
        <w:t>Total External Assets</w:t>
      </w: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The value of total stocks of the Palestinian assets abroad decreased by 2.2% at the end of 2018, compared to the end of 2017, amounting to USD 6,597 million</w:t>
      </w:r>
      <w:r w:rsidRPr="00477F96">
        <w:rPr>
          <w:rFonts w:ascii="Times New Roman" w:hAnsi="Times New Roman" w:cs="Times New Roman"/>
          <w:sz w:val="24"/>
          <w:szCs w:val="24"/>
        </w:rPr>
        <w:t>.  Other investments abroad value represented 64.6% (</w:t>
      </w:r>
      <w:r w:rsidRPr="00477F96">
        <w:rPr>
          <w:rFonts w:ascii="Times New Roman" w:eastAsia="Times New Roman" w:hAnsi="Times New Roman" w:cs="Times New Roman"/>
          <w:sz w:val="24"/>
          <w:szCs w:val="24"/>
          <w:lang w:eastAsia="ar-SA"/>
        </w:rPr>
        <w:t>currency and deposits</w:t>
      </w:r>
      <w:r w:rsidRPr="00477F96">
        <w:rPr>
          <w:rFonts w:ascii="Times New Roman" w:hAnsi="Times New Roman" w:cs="Times New Roman"/>
          <w:sz w:val="24"/>
          <w:szCs w:val="24"/>
        </w:rPr>
        <w:t xml:space="preserve"> value represented 91.9% of them) of the assets, while portfolio investments abroad value represented 22.0%, reserve assets value formed 8.1%, and foreign direct investment abroad value reached 5.3%. (See figure below).  </w:t>
      </w:r>
    </w:p>
    <w:p w:rsidR="00CD4514" w:rsidRPr="008B7485" w:rsidRDefault="00CD4514" w:rsidP="00477F96">
      <w:pPr>
        <w:spacing w:after="0" w:line="240" w:lineRule="auto"/>
        <w:jc w:val="center"/>
        <w:rPr>
          <w:rFonts w:ascii="Arial" w:hAnsi="Arial" w:cs="Arial"/>
          <w:b/>
          <w:bCs/>
        </w:rPr>
      </w:pPr>
      <w:proofErr w:type="gramStart"/>
      <w:r w:rsidRPr="008B7485">
        <w:rPr>
          <w:rFonts w:ascii="Arial" w:hAnsi="Arial" w:cs="Arial"/>
          <w:b/>
          <w:bCs/>
        </w:rPr>
        <w:lastRenderedPageBreak/>
        <w:t>Structure of total stocks of the Palestinian assets abroad at the end of 2018.</w:t>
      </w:r>
      <w:proofErr w:type="gramEnd"/>
    </w:p>
    <w:tbl>
      <w:tblPr>
        <w:tblStyle w:val="TableGrid"/>
        <w:tblW w:w="0" w:type="auto"/>
        <w:jc w:val="center"/>
        <w:tblLayout w:type="fixed"/>
        <w:tblLook w:val="04A0"/>
      </w:tblPr>
      <w:tblGrid>
        <w:gridCol w:w="8646"/>
      </w:tblGrid>
      <w:tr w:rsidR="00CD4514" w:rsidRPr="00477F96" w:rsidTr="00A74D0D">
        <w:trPr>
          <w:jc w:val="center"/>
        </w:trPr>
        <w:tc>
          <w:tcPr>
            <w:tcW w:w="8646" w:type="dxa"/>
          </w:tcPr>
          <w:p w:rsidR="00CD4514" w:rsidRPr="00477F96" w:rsidRDefault="00CD4514" w:rsidP="00477F96">
            <w:pPr>
              <w:jc w:val="both"/>
              <w:rPr>
                <w:rFonts w:ascii="Times New Roman" w:hAnsi="Times New Roman" w:cs="Times New Roman"/>
                <w:sz w:val="24"/>
                <w:szCs w:val="24"/>
              </w:rPr>
            </w:pPr>
            <w:r w:rsidRPr="00477F96">
              <w:rPr>
                <w:rFonts w:ascii="Times New Roman" w:hAnsi="Times New Roman" w:cs="Times New Roman"/>
                <w:noProof/>
                <w:sz w:val="24"/>
                <w:szCs w:val="24"/>
              </w:rPr>
              <w:drawing>
                <wp:inline distT="0" distB="0" distL="0" distR="0">
                  <wp:extent cx="5228811" cy="2441050"/>
                  <wp:effectExtent l="19050" t="0" r="0" b="0"/>
                  <wp:docPr id="5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tc>
      </w:tr>
    </w:tbl>
    <w:p w:rsidR="00CD4514" w:rsidRPr="00477F96" w:rsidRDefault="00CD4514" w:rsidP="00477F96">
      <w:pPr>
        <w:spacing w:after="0" w:line="240" w:lineRule="auto"/>
        <w:jc w:val="both"/>
        <w:rPr>
          <w:rFonts w:ascii="Times New Roman" w:hAnsi="Times New Roman" w:cs="Times New Roman"/>
          <w:sz w:val="24"/>
          <w:szCs w:val="24"/>
        </w:rPr>
      </w:pPr>
    </w:p>
    <w:p w:rsidR="00CD4514" w:rsidRPr="008B7485" w:rsidRDefault="008B7485" w:rsidP="00477F96">
      <w:pPr>
        <w:spacing w:after="0" w:line="240" w:lineRule="auto"/>
        <w:ind w:right="-57"/>
        <w:rPr>
          <w:rFonts w:ascii="Times New Roman" w:hAnsi="Times New Roman" w:cs="Times New Roman"/>
          <w:b/>
          <w:bCs/>
          <w:sz w:val="24"/>
          <w:szCs w:val="24"/>
        </w:rPr>
      </w:pPr>
      <w:r w:rsidRPr="008B7485">
        <w:rPr>
          <w:rFonts w:ascii="Times New Roman" w:hAnsi="Times New Roman" w:cs="Times New Roman"/>
          <w:b/>
          <w:bCs/>
          <w:sz w:val="24"/>
          <w:szCs w:val="24"/>
        </w:rPr>
        <w:t xml:space="preserve">4.2.2 </w:t>
      </w:r>
      <w:r w:rsidR="00CD4514" w:rsidRPr="008B7485">
        <w:rPr>
          <w:rFonts w:ascii="Times New Roman" w:hAnsi="Times New Roman" w:cs="Times New Roman"/>
          <w:b/>
          <w:bCs/>
          <w:sz w:val="24"/>
          <w:szCs w:val="24"/>
        </w:rPr>
        <w:t>Total Foreign Liabilities</w:t>
      </w:r>
    </w:p>
    <w:p w:rsidR="00CD4514" w:rsidRPr="00477F96" w:rsidRDefault="00CD4514" w:rsidP="00477F96">
      <w:pPr>
        <w:spacing w:after="0" w:line="240" w:lineRule="auto"/>
        <w:jc w:val="both"/>
        <w:rPr>
          <w:rFonts w:ascii="Times New Roman" w:hAnsi="Times New Roman" w:cs="Times New Roman"/>
          <w:sz w:val="24"/>
          <w:szCs w:val="24"/>
        </w:rPr>
      </w:pPr>
      <w:proofErr w:type="gramStart"/>
      <w:r w:rsidRPr="00477F96">
        <w:rPr>
          <w:rFonts w:ascii="Times New Roman" w:hAnsi="Times New Roman" w:cs="Times New Roman"/>
          <w:b/>
          <w:bCs/>
          <w:sz w:val="24"/>
          <w:szCs w:val="24"/>
        </w:rPr>
        <w:t>The value of total stocks of foreign liabilities in Palestine decreased by 2.0% at the end of 2018, compared with 2017, amounting to USD 4,938 million</w:t>
      </w:r>
      <w:r w:rsidRPr="00477F96">
        <w:rPr>
          <w:rFonts w:ascii="Times New Roman" w:hAnsi="Times New Roman" w:cs="Times New Roman"/>
          <w:sz w:val="24"/>
          <w:szCs w:val="24"/>
        </w:rPr>
        <w:t>.</w:t>
      </w:r>
      <w:proofErr w:type="gramEnd"/>
      <w:r w:rsidRPr="00477F96">
        <w:rPr>
          <w:rFonts w:ascii="Times New Roman" w:hAnsi="Times New Roman" w:cs="Times New Roman"/>
          <w:sz w:val="24"/>
          <w:szCs w:val="24"/>
        </w:rPr>
        <w:t xml:space="preserve">  Foreign direct investment value in Palestine constituted 55.1% of those liabilities, foreign other investments value in Palestine reached 30.2%, and foreign portfolio investments value in Palestine formed 14.7%.       (See figure below).  </w:t>
      </w:r>
    </w:p>
    <w:p w:rsidR="00CD4514" w:rsidRPr="008B7485" w:rsidRDefault="00CD4514" w:rsidP="00477F96">
      <w:pPr>
        <w:spacing w:after="0" w:line="240" w:lineRule="auto"/>
        <w:ind w:right="-57"/>
        <w:rPr>
          <w:rFonts w:ascii="Times New Roman" w:hAnsi="Times New Roman" w:cs="Times New Roman"/>
          <w:sz w:val="24"/>
          <w:szCs w:val="24"/>
        </w:rPr>
      </w:pPr>
    </w:p>
    <w:p w:rsidR="00CD4514" w:rsidRPr="008B7485" w:rsidRDefault="00CD4514" w:rsidP="00477F96">
      <w:pPr>
        <w:spacing w:after="0" w:line="240" w:lineRule="auto"/>
        <w:jc w:val="center"/>
        <w:rPr>
          <w:rFonts w:ascii="Arial" w:hAnsi="Arial" w:cs="Arial"/>
          <w:b/>
          <w:bCs/>
        </w:rPr>
      </w:pPr>
      <w:proofErr w:type="gramStart"/>
      <w:r w:rsidRPr="008B7485">
        <w:rPr>
          <w:rFonts w:ascii="Arial" w:hAnsi="Arial" w:cs="Arial"/>
          <w:b/>
          <w:bCs/>
        </w:rPr>
        <w:t xml:space="preserve">Structure of total stocks of </w:t>
      </w:r>
      <w:r w:rsidRPr="008B7485">
        <w:rPr>
          <w:rFonts w:ascii="Arial" w:hAnsi="Arial" w:cs="Arial"/>
          <w:b/>
          <w:bCs/>
          <w:lang w:val="en-US"/>
        </w:rPr>
        <w:t xml:space="preserve">the </w:t>
      </w:r>
      <w:r w:rsidRPr="008B7485">
        <w:rPr>
          <w:rFonts w:ascii="Arial" w:hAnsi="Arial" w:cs="Arial"/>
          <w:b/>
          <w:bCs/>
        </w:rPr>
        <w:t>foreign liabilities in Palestine at the end of 2018.</w:t>
      </w:r>
      <w:proofErr w:type="gramEnd"/>
    </w:p>
    <w:tbl>
      <w:tblPr>
        <w:tblStyle w:val="TableGrid"/>
        <w:tblW w:w="0" w:type="auto"/>
        <w:jc w:val="center"/>
        <w:tblLayout w:type="fixed"/>
        <w:tblLook w:val="04A0"/>
      </w:tblPr>
      <w:tblGrid>
        <w:gridCol w:w="8646"/>
      </w:tblGrid>
      <w:tr w:rsidR="00CD4514" w:rsidRPr="00477F96" w:rsidTr="00A74D0D">
        <w:trPr>
          <w:jc w:val="center"/>
        </w:trPr>
        <w:tc>
          <w:tcPr>
            <w:tcW w:w="8646" w:type="dxa"/>
          </w:tcPr>
          <w:p w:rsidR="00CD4514" w:rsidRPr="00477F96" w:rsidRDefault="00CD4514" w:rsidP="00477F96">
            <w:pPr>
              <w:jc w:val="center"/>
              <w:rPr>
                <w:rFonts w:ascii="Times New Roman" w:hAnsi="Times New Roman" w:cs="Times New Roman"/>
                <w:b/>
                <w:bCs/>
              </w:rPr>
            </w:pPr>
            <w:r w:rsidRPr="00477F96">
              <w:rPr>
                <w:rFonts w:ascii="Times New Roman" w:hAnsi="Times New Roman" w:cs="Times New Roman"/>
                <w:b/>
                <w:bCs/>
                <w:noProof/>
              </w:rPr>
              <w:drawing>
                <wp:inline distT="0" distB="0" distL="0" distR="0">
                  <wp:extent cx="5300373" cy="2623931"/>
                  <wp:effectExtent l="19050" t="0" r="0" b="0"/>
                  <wp:docPr id="57"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tc>
      </w:tr>
    </w:tbl>
    <w:p w:rsidR="00CD4514" w:rsidRPr="00477F96" w:rsidRDefault="00CD4514" w:rsidP="00477F96">
      <w:pPr>
        <w:spacing w:after="0" w:line="240" w:lineRule="auto"/>
        <w:jc w:val="center"/>
        <w:rPr>
          <w:rFonts w:ascii="Times New Roman" w:hAnsi="Times New Roman" w:cs="Times New Roman"/>
          <w:b/>
          <w:bCs/>
        </w:rPr>
      </w:pPr>
    </w:p>
    <w:p w:rsidR="008B7485" w:rsidRPr="00477F96" w:rsidRDefault="008B7485" w:rsidP="00477F96">
      <w:pPr>
        <w:spacing w:after="0" w:line="240" w:lineRule="auto"/>
        <w:ind w:right="-57"/>
        <w:jc w:val="center"/>
        <w:rPr>
          <w:rFonts w:ascii="Times New Roman" w:hAnsi="Times New Roman" w:cs="Times New Roman"/>
          <w:sz w:val="16"/>
          <w:szCs w:val="16"/>
        </w:rPr>
      </w:pPr>
    </w:p>
    <w:p w:rsidR="00CD4514" w:rsidRPr="00A372C2" w:rsidRDefault="008B7485" w:rsidP="00477F96">
      <w:pPr>
        <w:spacing w:after="0" w:line="240" w:lineRule="auto"/>
        <w:ind w:right="-170"/>
        <w:rPr>
          <w:rFonts w:ascii="Times New Roman" w:hAnsi="Times New Roman" w:cs="Times New Roman"/>
          <w:b/>
          <w:sz w:val="24"/>
          <w:szCs w:val="24"/>
        </w:rPr>
      </w:pPr>
      <w:r w:rsidRPr="00A372C2">
        <w:rPr>
          <w:rFonts w:ascii="Times New Roman" w:hAnsi="Times New Roman" w:cs="Times New Roman"/>
          <w:b/>
          <w:sz w:val="24"/>
          <w:szCs w:val="24"/>
        </w:rPr>
        <w:t xml:space="preserve">4.3 </w:t>
      </w:r>
      <w:r w:rsidR="00CD4514" w:rsidRPr="00A372C2">
        <w:rPr>
          <w:rFonts w:ascii="Times New Roman" w:hAnsi="Times New Roman" w:cs="Times New Roman"/>
          <w:b/>
          <w:sz w:val="24"/>
          <w:szCs w:val="24"/>
        </w:rPr>
        <w:t>External Debt</w:t>
      </w:r>
    </w:p>
    <w:p w:rsidR="00CD4514" w:rsidRPr="00477F96" w:rsidRDefault="00CD4514" w:rsidP="00477F96">
      <w:pPr>
        <w:spacing w:after="0" w:line="240" w:lineRule="auto"/>
        <w:jc w:val="both"/>
        <w:rPr>
          <w:rFonts w:ascii="Times New Roman" w:hAnsi="Times New Roman" w:cs="Times New Roman"/>
          <w:bCs/>
          <w:iCs/>
          <w:sz w:val="24"/>
          <w:szCs w:val="24"/>
        </w:rPr>
      </w:pPr>
      <w:r w:rsidRPr="00477F96">
        <w:rPr>
          <w:rFonts w:ascii="Times New Roman" w:hAnsi="Times New Roman" w:cs="Times New Roman"/>
          <w:b/>
          <w:iCs/>
          <w:sz w:val="24"/>
          <w:szCs w:val="24"/>
        </w:rPr>
        <w:t xml:space="preserve">The value of the external debt </w:t>
      </w:r>
      <w:r w:rsidRPr="00477F96">
        <w:rPr>
          <w:rFonts w:ascii="Times New Roman" w:hAnsi="Times New Roman" w:cs="Times New Roman"/>
          <w:b/>
          <w:sz w:val="24"/>
          <w:szCs w:val="24"/>
        </w:rPr>
        <w:t xml:space="preserve">position </w:t>
      </w:r>
      <w:r w:rsidRPr="00477F96">
        <w:rPr>
          <w:rFonts w:ascii="Times New Roman" w:hAnsi="Times New Roman" w:cs="Times New Roman"/>
          <w:b/>
          <w:iCs/>
          <w:sz w:val="24"/>
          <w:szCs w:val="24"/>
        </w:rPr>
        <w:t xml:space="preserve">of the central government sector is the largest among the economic sectors, </w:t>
      </w:r>
      <w:r w:rsidRPr="00477F96">
        <w:rPr>
          <w:rFonts w:ascii="Times New Roman" w:hAnsi="Times New Roman" w:cs="Times New Roman"/>
          <w:bCs/>
          <w:iCs/>
          <w:sz w:val="24"/>
          <w:szCs w:val="24"/>
        </w:rPr>
        <w:t>where</w:t>
      </w:r>
      <w:r w:rsidRPr="00477F96">
        <w:rPr>
          <w:rFonts w:ascii="Times New Roman" w:hAnsi="Times New Roman" w:cs="Times New Roman"/>
          <w:b/>
          <w:iCs/>
          <w:sz w:val="24"/>
          <w:szCs w:val="24"/>
        </w:rPr>
        <w:t xml:space="preserve"> </w:t>
      </w:r>
      <w:r w:rsidRPr="00477F96">
        <w:rPr>
          <w:rFonts w:ascii="Times New Roman" w:hAnsi="Times New Roman" w:cs="Times New Roman"/>
          <w:bCs/>
          <w:iCs/>
          <w:sz w:val="24"/>
          <w:szCs w:val="24"/>
        </w:rPr>
        <w:t xml:space="preserve">the value of the external debt </w:t>
      </w:r>
      <w:r w:rsidRPr="00477F96">
        <w:rPr>
          <w:rFonts w:ascii="Times New Roman" w:hAnsi="Times New Roman" w:cs="Times New Roman"/>
          <w:bCs/>
          <w:sz w:val="24"/>
          <w:szCs w:val="24"/>
        </w:rPr>
        <w:t xml:space="preserve">position </w:t>
      </w:r>
      <w:r w:rsidRPr="00477F96">
        <w:rPr>
          <w:rFonts w:ascii="Times New Roman" w:hAnsi="Times New Roman" w:cs="Times New Roman"/>
          <w:bCs/>
          <w:iCs/>
          <w:sz w:val="24"/>
          <w:szCs w:val="24"/>
        </w:rPr>
        <w:t xml:space="preserve">of the central government constituted 67.2% of the gross external debt </w:t>
      </w:r>
      <w:r w:rsidRPr="00477F96">
        <w:rPr>
          <w:rFonts w:ascii="Times New Roman" w:hAnsi="Times New Roman" w:cs="Times New Roman"/>
          <w:bCs/>
          <w:sz w:val="24"/>
          <w:szCs w:val="24"/>
        </w:rPr>
        <w:t xml:space="preserve">position representing </w:t>
      </w:r>
      <w:r w:rsidRPr="00477F96">
        <w:rPr>
          <w:rFonts w:ascii="Times New Roman" w:hAnsi="Times New Roman" w:cs="Times New Roman"/>
          <w:bCs/>
          <w:iCs/>
          <w:sz w:val="24"/>
          <w:szCs w:val="24"/>
        </w:rPr>
        <w:t>USD 1,032 million. (See figure below).</w:t>
      </w:r>
    </w:p>
    <w:p w:rsidR="00CD4514" w:rsidRDefault="00CD4514" w:rsidP="00477F96">
      <w:pPr>
        <w:spacing w:after="0" w:line="240" w:lineRule="auto"/>
        <w:jc w:val="both"/>
        <w:rPr>
          <w:rFonts w:ascii="Times New Roman" w:hAnsi="Times New Roman" w:cs="Times New Roman"/>
          <w:bCs/>
          <w:iCs/>
          <w:sz w:val="24"/>
          <w:szCs w:val="24"/>
        </w:rPr>
      </w:pPr>
    </w:p>
    <w:p w:rsidR="008361CC" w:rsidRDefault="008361CC" w:rsidP="00477F96">
      <w:pPr>
        <w:spacing w:after="0" w:line="240" w:lineRule="auto"/>
        <w:jc w:val="both"/>
        <w:rPr>
          <w:rFonts w:ascii="Times New Roman" w:hAnsi="Times New Roman" w:cs="Times New Roman"/>
          <w:bCs/>
          <w:iCs/>
          <w:sz w:val="24"/>
          <w:szCs w:val="24"/>
        </w:rPr>
      </w:pPr>
    </w:p>
    <w:p w:rsidR="008361CC" w:rsidRDefault="008361CC" w:rsidP="00477F96">
      <w:pPr>
        <w:spacing w:after="0" w:line="240" w:lineRule="auto"/>
        <w:jc w:val="both"/>
        <w:rPr>
          <w:rFonts w:ascii="Times New Roman" w:hAnsi="Times New Roman" w:cs="Times New Roman"/>
          <w:bCs/>
          <w:iCs/>
          <w:sz w:val="24"/>
          <w:szCs w:val="24"/>
        </w:rPr>
      </w:pPr>
    </w:p>
    <w:p w:rsidR="008361CC" w:rsidRDefault="008361CC" w:rsidP="00477F96">
      <w:pPr>
        <w:spacing w:after="0" w:line="240" w:lineRule="auto"/>
        <w:jc w:val="both"/>
        <w:rPr>
          <w:rFonts w:ascii="Times New Roman" w:hAnsi="Times New Roman" w:cs="Times New Roman"/>
          <w:bCs/>
          <w:iCs/>
          <w:sz w:val="24"/>
          <w:szCs w:val="24"/>
        </w:rPr>
      </w:pPr>
    </w:p>
    <w:p w:rsidR="008361CC" w:rsidRPr="00477F96" w:rsidRDefault="008361CC" w:rsidP="00477F96">
      <w:pPr>
        <w:spacing w:after="0" w:line="240" w:lineRule="auto"/>
        <w:jc w:val="both"/>
        <w:rPr>
          <w:rFonts w:ascii="Times New Roman" w:hAnsi="Times New Roman" w:cs="Times New Roman"/>
          <w:bCs/>
          <w:iCs/>
          <w:sz w:val="24"/>
          <w:szCs w:val="24"/>
        </w:rPr>
      </w:pPr>
    </w:p>
    <w:p w:rsidR="00A74D0D" w:rsidRDefault="00CD4514" w:rsidP="00477F96">
      <w:pPr>
        <w:spacing w:after="0" w:line="240" w:lineRule="auto"/>
        <w:jc w:val="center"/>
        <w:rPr>
          <w:rFonts w:ascii="Arial" w:hAnsi="Arial" w:cs="Arial"/>
          <w:b/>
          <w:bCs/>
        </w:rPr>
      </w:pPr>
      <w:r w:rsidRPr="00F96133">
        <w:rPr>
          <w:rFonts w:ascii="Arial" w:hAnsi="Arial" w:cs="Arial"/>
          <w:b/>
          <w:bCs/>
        </w:rPr>
        <w:lastRenderedPageBreak/>
        <w:t>Distribution of gross external debt position on the economic sector in Palestine at</w:t>
      </w:r>
    </w:p>
    <w:p w:rsidR="00CD4514" w:rsidRPr="00F96133" w:rsidRDefault="00CD4514" w:rsidP="00477F96">
      <w:pPr>
        <w:spacing w:after="0" w:line="240" w:lineRule="auto"/>
        <w:jc w:val="center"/>
        <w:rPr>
          <w:rFonts w:ascii="Arial" w:hAnsi="Arial" w:cs="Arial"/>
          <w:b/>
          <w:bCs/>
        </w:rPr>
      </w:pPr>
      <w:r w:rsidRPr="00F96133">
        <w:rPr>
          <w:rFonts w:ascii="Arial" w:hAnsi="Arial" w:cs="Arial"/>
          <w:b/>
          <w:bCs/>
        </w:rPr>
        <w:t xml:space="preserve"> </w:t>
      </w:r>
      <w:proofErr w:type="gramStart"/>
      <w:r w:rsidRPr="00F96133">
        <w:rPr>
          <w:rFonts w:ascii="Arial" w:hAnsi="Arial" w:cs="Arial"/>
          <w:b/>
          <w:bCs/>
        </w:rPr>
        <w:t>the</w:t>
      </w:r>
      <w:proofErr w:type="gramEnd"/>
      <w:r w:rsidRPr="00F96133">
        <w:rPr>
          <w:rFonts w:ascii="Arial" w:hAnsi="Arial" w:cs="Arial"/>
          <w:b/>
          <w:bCs/>
        </w:rPr>
        <w:t xml:space="preserve"> end of 2018</w:t>
      </w:r>
    </w:p>
    <w:tbl>
      <w:tblPr>
        <w:tblStyle w:val="TableGrid"/>
        <w:tblW w:w="0" w:type="auto"/>
        <w:jc w:val="center"/>
        <w:tblLayout w:type="fixed"/>
        <w:tblLook w:val="04A0"/>
      </w:tblPr>
      <w:tblGrid>
        <w:gridCol w:w="8647"/>
      </w:tblGrid>
      <w:tr w:rsidR="00CD4514" w:rsidRPr="00477F96" w:rsidTr="00A74D0D">
        <w:trPr>
          <w:jc w:val="center"/>
        </w:trPr>
        <w:tc>
          <w:tcPr>
            <w:tcW w:w="8647" w:type="dxa"/>
          </w:tcPr>
          <w:p w:rsidR="00CD4514" w:rsidRPr="00477F96" w:rsidRDefault="00CD4514" w:rsidP="00477F96">
            <w:pPr>
              <w:jc w:val="center"/>
              <w:rPr>
                <w:rFonts w:ascii="Times New Roman" w:hAnsi="Times New Roman" w:cs="Times New Roman"/>
              </w:rPr>
            </w:pPr>
            <w:r w:rsidRPr="00477F96">
              <w:rPr>
                <w:rFonts w:ascii="Times New Roman" w:hAnsi="Times New Roman" w:cs="Times New Roman"/>
                <w:noProof/>
              </w:rPr>
              <w:drawing>
                <wp:inline distT="0" distB="0" distL="0" distR="0">
                  <wp:extent cx="5260616" cy="2409246"/>
                  <wp:effectExtent l="19050" t="0" r="0" b="0"/>
                  <wp:docPr id="5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tc>
      </w:tr>
    </w:tbl>
    <w:p w:rsidR="00CD4514" w:rsidRPr="00477F96" w:rsidRDefault="00CD4514" w:rsidP="00477F96">
      <w:pPr>
        <w:spacing w:after="0" w:line="240" w:lineRule="auto"/>
        <w:jc w:val="center"/>
        <w:rPr>
          <w:rFonts w:ascii="Times New Roman" w:hAnsi="Times New Roman" w:cs="Times New Roman"/>
          <w:rtl/>
        </w:rPr>
      </w:pPr>
    </w:p>
    <w:p w:rsidR="00CD4514" w:rsidRPr="00477F96" w:rsidRDefault="00CD4514" w:rsidP="00477F96">
      <w:pPr>
        <w:spacing w:after="0" w:line="240" w:lineRule="auto"/>
        <w:jc w:val="both"/>
        <w:rPr>
          <w:rFonts w:ascii="Times New Roman" w:hAnsi="Times New Roman" w:cs="Times New Roman"/>
          <w:sz w:val="24"/>
          <w:szCs w:val="24"/>
        </w:rPr>
      </w:pPr>
      <w:r w:rsidRPr="00477F96">
        <w:rPr>
          <w:rFonts w:ascii="Times New Roman" w:hAnsi="Times New Roman" w:cs="Times New Roman"/>
          <w:b/>
          <w:bCs/>
          <w:sz w:val="24"/>
          <w:szCs w:val="24"/>
        </w:rPr>
        <w:t xml:space="preserve">The gross external debt position value of Palestine decreased by 11.3% at the end of 2018, reaching USD 1,535 million, </w:t>
      </w:r>
      <w:r w:rsidRPr="00477F96">
        <w:rPr>
          <w:rFonts w:ascii="Times New Roman" w:hAnsi="Times New Roman" w:cs="Times New Roman"/>
          <w:sz w:val="24"/>
          <w:szCs w:val="24"/>
        </w:rPr>
        <w:t>this decrease was due to the sharp decline in the value of the external debt position of the banks sector by 30.8% compared to the end of 2017, reaching USD 417 million at the end of 2018 compared to USD 603 million at the end of 2017. (See table 13).</w:t>
      </w:r>
    </w:p>
    <w:p w:rsidR="00CD4514" w:rsidRPr="00477F96" w:rsidRDefault="00CD4514" w:rsidP="00477F96">
      <w:pPr>
        <w:spacing w:after="0" w:line="240" w:lineRule="auto"/>
        <w:jc w:val="both"/>
        <w:rPr>
          <w:rFonts w:ascii="Times New Roman" w:hAnsi="Times New Roman" w:cs="Times New Roman"/>
          <w:sz w:val="24"/>
          <w:szCs w:val="24"/>
        </w:rPr>
      </w:pPr>
    </w:p>
    <w:p w:rsidR="00CD4514" w:rsidRPr="00E96E2A" w:rsidRDefault="00CD4514" w:rsidP="00477F96">
      <w:pPr>
        <w:spacing w:after="0" w:line="240" w:lineRule="auto"/>
        <w:jc w:val="center"/>
        <w:rPr>
          <w:rFonts w:ascii="Arial" w:hAnsi="Arial" w:cs="Arial"/>
          <w:b/>
          <w:bCs/>
        </w:rPr>
      </w:pPr>
      <w:r w:rsidRPr="00E96E2A">
        <w:rPr>
          <w:rFonts w:ascii="Arial" w:hAnsi="Arial" w:cs="Arial"/>
          <w:b/>
          <w:bCs/>
        </w:rPr>
        <w:t xml:space="preserve">Table 13: Gross external debt position of the economic sector in Palestine at the end of the years, </w:t>
      </w:r>
      <w:r w:rsidRPr="00E96E2A">
        <w:rPr>
          <w:rFonts w:ascii="Arial" w:hAnsi="Arial" w:cs="Arial"/>
          <w:b/>
          <w:bCs/>
          <w:rtl/>
        </w:rPr>
        <w:t>2013</w:t>
      </w:r>
      <w:r w:rsidR="00EF105D">
        <w:rPr>
          <w:rFonts w:ascii="Arial" w:hAnsi="Arial" w:cs="Arial"/>
          <w:b/>
          <w:bCs/>
        </w:rPr>
        <w:t>-</w:t>
      </w:r>
      <w:r w:rsidRPr="00E96E2A">
        <w:rPr>
          <w:rFonts w:ascii="Arial" w:hAnsi="Arial" w:cs="Arial"/>
          <w:b/>
          <w:bCs/>
        </w:rPr>
        <w:t>2018</w:t>
      </w:r>
    </w:p>
    <w:p w:rsidR="00CD4514" w:rsidRPr="00477F96" w:rsidRDefault="00CD4514" w:rsidP="00477F96">
      <w:pPr>
        <w:spacing w:after="0" w:line="240" w:lineRule="auto"/>
        <w:jc w:val="center"/>
        <w:rPr>
          <w:rFonts w:ascii="Times New Roman" w:hAnsi="Times New Roman" w:cs="Times New Roman"/>
          <w:b/>
          <w:bCs/>
          <w:sz w:val="10"/>
          <w:szCs w:val="10"/>
        </w:rPr>
      </w:pPr>
    </w:p>
    <w:p w:rsidR="00CD4514" w:rsidRPr="00A74D0D" w:rsidRDefault="00E66E2C" w:rsidP="00477F96">
      <w:pPr>
        <w:tabs>
          <w:tab w:val="center" w:pos="4535"/>
        </w:tabs>
        <w:spacing w:after="0" w:line="240" w:lineRule="auto"/>
        <w:ind w:hanging="142"/>
        <w:jc w:val="both"/>
        <w:rPr>
          <w:rFonts w:ascii="Arial" w:hAnsi="Arial" w:cs="Arial"/>
          <w:sz w:val="18"/>
          <w:szCs w:val="18"/>
        </w:rPr>
      </w:pPr>
      <w:r w:rsidRPr="00A74D0D">
        <w:rPr>
          <w:rFonts w:ascii="Arial" w:hAnsi="Arial" w:cs="Arial"/>
          <w:sz w:val="18"/>
          <w:szCs w:val="18"/>
        </w:rPr>
        <w:t xml:space="preserve">  </w:t>
      </w:r>
      <w:r w:rsidR="00CD4514" w:rsidRPr="00A74D0D">
        <w:rPr>
          <w:rFonts w:ascii="Arial" w:hAnsi="Arial" w:cs="Arial"/>
          <w:sz w:val="18"/>
          <w:szCs w:val="18"/>
        </w:rPr>
        <w:t>Value in USD million</w:t>
      </w:r>
      <w:r w:rsidR="00CD4514" w:rsidRPr="00A74D0D">
        <w:rPr>
          <w:rFonts w:ascii="Arial" w:hAnsi="Arial" w:cs="Arial"/>
          <w:sz w:val="18"/>
          <w:szCs w:val="18"/>
        </w:rPr>
        <w:tab/>
      </w: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84"/>
        <w:gridCol w:w="764"/>
        <w:gridCol w:w="764"/>
        <w:gridCol w:w="766"/>
        <w:gridCol w:w="764"/>
        <w:gridCol w:w="764"/>
        <w:gridCol w:w="766"/>
      </w:tblGrid>
      <w:tr w:rsidR="00CD4514" w:rsidRPr="00A74D0D" w:rsidTr="00E96E2A">
        <w:trPr>
          <w:trHeight w:val="340"/>
          <w:jc w:val="center"/>
        </w:trPr>
        <w:tc>
          <w:tcPr>
            <w:tcW w:w="2471" w:type="pct"/>
            <w:tcBorders>
              <w:top w:val="single" w:sz="12" w:space="0" w:color="auto"/>
              <w:bottom w:val="single" w:sz="12" w:space="0" w:color="auto"/>
            </w:tcBorders>
            <w:vAlign w:val="center"/>
          </w:tcPr>
          <w:p w:rsidR="00CD4514" w:rsidRPr="00A74D0D" w:rsidRDefault="00CD4514" w:rsidP="00477F96">
            <w:pPr>
              <w:pStyle w:val="Footer"/>
              <w:tabs>
                <w:tab w:val="clear" w:pos="4153"/>
                <w:tab w:val="clear" w:pos="8306"/>
              </w:tabs>
              <w:jc w:val="center"/>
              <w:rPr>
                <w:rFonts w:ascii="Arial" w:hAnsi="Arial" w:cs="Arial"/>
                <w:b/>
                <w:bCs/>
                <w:sz w:val="18"/>
                <w:szCs w:val="18"/>
              </w:rPr>
            </w:pPr>
            <w:r w:rsidRPr="00A74D0D">
              <w:rPr>
                <w:rFonts w:ascii="Arial" w:hAnsi="Arial" w:cs="Arial"/>
                <w:b/>
                <w:bCs/>
                <w:sz w:val="18"/>
                <w:szCs w:val="18"/>
              </w:rPr>
              <w:t>Economic Sector</w:t>
            </w:r>
          </w:p>
        </w:tc>
        <w:tc>
          <w:tcPr>
            <w:tcW w:w="421" w:type="pct"/>
            <w:tcBorders>
              <w:top w:val="single" w:sz="12" w:space="0" w:color="auto"/>
              <w:bottom w:val="single" w:sz="12" w:space="0" w:color="auto"/>
            </w:tcBorders>
            <w:vAlign w:val="center"/>
          </w:tcPr>
          <w:p w:rsidR="00CD4514" w:rsidRPr="00A74D0D" w:rsidRDefault="00CD4514" w:rsidP="00477F96">
            <w:pPr>
              <w:jc w:val="center"/>
              <w:rPr>
                <w:rFonts w:ascii="Arial" w:hAnsi="Arial" w:cs="Arial"/>
                <w:b/>
                <w:bCs/>
                <w:sz w:val="18"/>
                <w:szCs w:val="18"/>
                <w:rtl/>
              </w:rPr>
            </w:pPr>
            <w:r w:rsidRPr="00A74D0D">
              <w:rPr>
                <w:rFonts w:ascii="Arial" w:hAnsi="Arial" w:cs="Arial"/>
                <w:b/>
                <w:bCs/>
                <w:sz w:val="18"/>
                <w:szCs w:val="18"/>
              </w:rPr>
              <w:t>2013</w:t>
            </w:r>
          </w:p>
        </w:tc>
        <w:tc>
          <w:tcPr>
            <w:tcW w:w="421" w:type="pct"/>
            <w:tcBorders>
              <w:top w:val="single" w:sz="12" w:space="0" w:color="auto"/>
              <w:bottom w:val="single" w:sz="12" w:space="0" w:color="auto"/>
            </w:tcBorders>
            <w:vAlign w:val="center"/>
          </w:tcPr>
          <w:p w:rsidR="00CD4514" w:rsidRPr="00A74D0D" w:rsidRDefault="00CD4514" w:rsidP="00477F96">
            <w:pPr>
              <w:jc w:val="center"/>
              <w:rPr>
                <w:rFonts w:ascii="Arial" w:hAnsi="Arial" w:cs="Arial"/>
                <w:b/>
                <w:bCs/>
                <w:sz w:val="18"/>
                <w:szCs w:val="18"/>
                <w:rtl/>
              </w:rPr>
            </w:pPr>
            <w:r w:rsidRPr="00A74D0D">
              <w:rPr>
                <w:rFonts w:ascii="Arial" w:hAnsi="Arial" w:cs="Arial"/>
                <w:b/>
                <w:bCs/>
                <w:sz w:val="18"/>
                <w:szCs w:val="18"/>
              </w:rPr>
              <w:t>2014</w:t>
            </w:r>
          </w:p>
        </w:tc>
        <w:tc>
          <w:tcPr>
            <w:tcW w:w="422" w:type="pct"/>
            <w:tcBorders>
              <w:top w:val="single" w:sz="12" w:space="0" w:color="auto"/>
              <w:bottom w:val="single" w:sz="12" w:space="0" w:color="auto"/>
            </w:tcBorders>
            <w:vAlign w:val="center"/>
          </w:tcPr>
          <w:p w:rsidR="00CD4514" w:rsidRPr="00A74D0D" w:rsidRDefault="00CD4514" w:rsidP="00477F96">
            <w:pPr>
              <w:jc w:val="center"/>
              <w:rPr>
                <w:rFonts w:ascii="Arial" w:hAnsi="Arial" w:cs="Arial"/>
                <w:b/>
                <w:bCs/>
                <w:sz w:val="18"/>
                <w:szCs w:val="18"/>
                <w:rtl/>
              </w:rPr>
            </w:pPr>
            <w:r w:rsidRPr="00A74D0D">
              <w:rPr>
                <w:rFonts w:ascii="Arial" w:hAnsi="Arial" w:cs="Arial"/>
                <w:b/>
                <w:bCs/>
                <w:sz w:val="18"/>
                <w:szCs w:val="18"/>
                <w:rtl/>
              </w:rPr>
              <w:t>2015</w:t>
            </w:r>
          </w:p>
        </w:tc>
        <w:tc>
          <w:tcPr>
            <w:tcW w:w="421" w:type="pct"/>
            <w:tcBorders>
              <w:top w:val="single" w:sz="12" w:space="0" w:color="auto"/>
              <w:bottom w:val="single" w:sz="12" w:space="0" w:color="auto"/>
            </w:tcBorders>
            <w:vAlign w:val="center"/>
          </w:tcPr>
          <w:p w:rsidR="00CD4514" w:rsidRPr="00A74D0D" w:rsidRDefault="00CD4514" w:rsidP="00477F96">
            <w:pPr>
              <w:jc w:val="center"/>
              <w:rPr>
                <w:rFonts w:ascii="Arial" w:hAnsi="Arial" w:cs="Arial"/>
                <w:b/>
                <w:bCs/>
                <w:sz w:val="18"/>
                <w:szCs w:val="18"/>
                <w:rtl/>
              </w:rPr>
            </w:pPr>
            <w:r w:rsidRPr="00A74D0D">
              <w:rPr>
                <w:rFonts w:ascii="Arial" w:hAnsi="Arial" w:cs="Arial"/>
                <w:b/>
                <w:bCs/>
                <w:sz w:val="18"/>
                <w:szCs w:val="18"/>
                <w:rtl/>
              </w:rPr>
              <w:t>2016</w:t>
            </w:r>
          </w:p>
        </w:tc>
        <w:tc>
          <w:tcPr>
            <w:tcW w:w="421" w:type="pct"/>
            <w:tcBorders>
              <w:top w:val="single" w:sz="12" w:space="0" w:color="auto"/>
              <w:bottom w:val="single" w:sz="12" w:space="0" w:color="auto"/>
            </w:tcBorders>
            <w:vAlign w:val="center"/>
          </w:tcPr>
          <w:p w:rsidR="00CD4514" w:rsidRPr="00A74D0D" w:rsidRDefault="00CD4514" w:rsidP="00477F96">
            <w:pPr>
              <w:jc w:val="center"/>
              <w:rPr>
                <w:rFonts w:ascii="Arial" w:hAnsi="Arial" w:cs="Arial"/>
                <w:b/>
                <w:bCs/>
                <w:sz w:val="18"/>
                <w:szCs w:val="18"/>
                <w:rtl/>
              </w:rPr>
            </w:pPr>
            <w:r w:rsidRPr="00A74D0D">
              <w:rPr>
                <w:rFonts w:ascii="Arial" w:hAnsi="Arial" w:cs="Arial"/>
                <w:b/>
                <w:bCs/>
                <w:sz w:val="18"/>
                <w:szCs w:val="18"/>
                <w:rtl/>
              </w:rPr>
              <w:t>2017</w:t>
            </w:r>
          </w:p>
        </w:tc>
        <w:tc>
          <w:tcPr>
            <w:tcW w:w="422" w:type="pct"/>
            <w:tcBorders>
              <w:top w:val="single" w:sz="12" w:space="0" w:color="auto"/>
              <w:bottom w:val="single" w:sz="12" w:space="0" w:color="auto"/>
            </w:tcBorders>
            <w:vAlign w:val="center"/>
          </w:tcPr>
          <w:p w:rsidR="00CD4514" w:rsidRPr="00A74D0D" w:rsidRDefault="00CD4514" w:rsidP="00477F96">
            <w:pPr>
              <w:jc w:val="center"/>
              <w:rPr>
                <w:rFonts w:ascii="Arial" w:hAnsi="Arial" w:cs="Arial"/>
                <w:b/>
                <w:bCs/>
                <w:sz w:val="18"/>
                <w:szCs w:val="18"/>
                <w:rtl/>
              </w:rPr>
            </w:pPr>
            <w:r w:rsidRPr="00A74D0D">
              <w:rPr>
                <w:rFonts w:ascii="Arial" w:hAnsi="Arial" w:cs="Arial"/>
                <w:b/>
                <w:bCs/>
                <w:sz w:val="18"/>
                <w:szCs w:val="18"/>
                <w:rtl/>
              </w:rPr>
              <w:t>2018*</w:t>
            </w:r>
          </w:p>
        </w:tc>
      </w:tr>
      <w:tr w:rsidR="00CD4514" w:rsidRPr="00A74D0D" w:rsidTr="00E96E2A">
        <w:trPr>
          <w:trHeight w:val="340"/>
          <w:jc w:val="center"/>
        </w:trPr>
        <w:tc>
          <w:tcPr>
            <w:tcW w:w="2471" w:type="pct"/>
            <w:tcBorders>
              <w:top w:val="single" w:sz="12" w:space="0" w:color="auto"/>
            </w:tcBorders>
            <w:vAlign w:val="center"/>
          </w:tcPr>
          <w:p w:rsidR="00CD4514" w:rsidRPr="00A74D0D" w:rsidRDefault="00CD4514" w:rsidP="00477F96">
            <w:pPr>
              <w:rPr>
                <w:rStyle w:val="hps"/>
                <w:rFonts w:ascii="Arial" w:hAnsi="Arial" w:cs="Arial"/>
                <w:sz w:val="18"/>
                <w:szCs w:val="18"/>
              </w:rPr>
            </w:pPr>
            <w:r w:rsidRPr="00A74D0D">
              <w:rPr>
                <w:rFonts w:ascii="Arial" w:hAnsi="Arial" w:cs="Arial"/>
                <w:sz w:val="18"/>
                <w:szCs w:val="18"/>
              </w:rPr>
              <w:t>Central Government</w:t>
            </w:r>
          </w:p>
        </w:tc>
        <w:tc>
          <w:tcPr>
            <w:tcW w:w="421" w:type="pct"/>
            <w:tcBorders>
              <w:top w:val="single" w:sz="12" w:space="0" w:color="auto"/>
            </w:tcBorders>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1,109</w:t>
            </w:r>
          </w:p>
        </w:tc>
        <w:tc>
          <w:tcPr>
            <w:tcW w:w="421" w:type="pct"/>
            <w:tcBorders>
              <w:top w:val="single" w:sz="12" w:space="0" w:color="auto"/>
            </w:tcBorders>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1,089</w:t>
            </w:r>
          </w:p>
        </w:tc>
        <w:tc>
          <w:tcPr>
            <w:tcW w:w="422" w:type="pct"/>
            <w:tcBorders>
              <w:top w:val="single" w:sz="12" w:space="0" w:color="auto"/>
            </w:tcBorders>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1,071</w:t>
            </w:r>
          </w:p>
        </w:tc>
        <w:tc>
          <w:tcPr>
            <w:tcW w:w="421" w:type="pct"/>
            <w:tcBorders>
              <w:top w:val="single" w:sz="12" w:space="0" w:color="auto"/>
            </w:tcBorders>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1,044</w:t>
            </w:r>
          </w:p>
        </w:tc>
        <w:tc>
          <w:tcPr>
            <w:tcW w:w="421" w:type="pct"/>
            <w:tcBorders>
              <w:top w:val="single" w:sz="12" w:space="0" w:color="auto"/>
            </w:tcBorders>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1,042</w:t>
            </w:r>
          </w:p>
        </w:tc>
        <w:tc>
          <w:tcPr>
            <w:tcW w:w="422" w:type="pct"/>
            <w:tcBorders>
              <w:top w:val="single" w:sz="12" w:space="0" w:color="auto"/>
            </w:tcBorders>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1,032</w:t>
            </w:r>
          </w:p>
        </w:tc>
      </w:tr>
      <w:tr w:rsidR="00CD4514" w:rsidRPr="00A74D0D" w:rsidTr="00E96E2A">
        <w:trPr>
          <w:trHeight w:val="340"/>
          <w:jc w:val="center"/>
        </w:trPr>
        <w:tc>
          <w:tcPr>
            <w:tcW w:w="2471" w:type="pct"/>
            <w:vAlign w:val="center"/>
          </w:tcPr>
          <w:p w:rsidR="00CD4514" w:rsidRPr="00A74D0D" w:rsidRDefault="00CD4514" w:rsidP="00477F96">
            <w:pPr>
              <w:rPr>
                <w:rStyle w:val="hps"/>
                <w:rFonts w:ascii="Arial" w:hAnsi="Arial" w:cs="Arial"/>
                <w:sz w:val="18"/>
                <w:szCs w:val="18"/>
              </w:rPr>
            </w:pPr>
            <w:r w:rsidRPr="00A74D0D">
              <w:rPr>
                <w:rFonts w:ascii="Arial" w:hAnsi="Arial" w:cs="Arial"/>
                <w:sz w:val="18"/>
                <w:szCs w:val="18"/>
              </w:rPr>
              <w:t>Monetary Authorities</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0</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0</w:t>
            </w:r>
          </w:p>
        </w:tc>
        <w:tc>
          <w:tcPr>
            <w:tcW w:w="422"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0</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0</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0</w:t>
            </w:r>
          </w:p>
        </w:tc>
        <w:tc>
          <w:tcPr>
            <w:tcW w:w="422"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0</w:t>
            </w:r>
          </w:p>
        </w:tc>
      </w:tr>
      <w:tr w:rsidR="00CD4514" w:rsidRPr="00A74D0D" w:rsidTr="00E96E2A">
        <w:trPr>
          <w:trHeight w:val="340"/>
          <w:jc w:val="center"/>
        </w:trPr>
        <w:tc>
          <w:tcPr>
            <w:tcW w:w="2471" w:type="pct"/>
            <w:vAlign w:val="center"/>
          </w:tcPr>
          <w:p w:rsidR="00CD4514" w:rsidRPr="00A74D0D" w:rsidRDefault="00CD4514" w:rsidP="00477F96">
            <w:pPr>
              <w:rPr>
                <w:rStyle w:val="hps"/>
                <w:rFonts w:ascii="Arial" w:hAnsi="Arial" w:cs="Arial"/>
                <w:sz w:val="18"/>
                <w:szCs w:val="18"/>
              </w:rPr>
            </w:pPr>
            <w:r w:rsidRPr="00A74D0D">
              <w:rPr>
                <w:rFonts w:ascii="Arial" w:hAnsi="Arial" w:cs="Arial"/>
                <w:sz w:val="18"/>
                <w:szCs w:val="18"/>
              </w:rPr>
              <w:t>Banks</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552</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404</w:t>
            </w:r>
          </w:p>
        </w:tc>
        <w:tc>
          <w:tcPr>
            <w:tcW w:w="422"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530</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496</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603</w:t>
            </w:r>
          </w:p>
        </w:tc>
        <w:tc>
          <w:tcPr>
            <w:tcW w:w="422"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417</w:t>
            </w:r>
          </w:p>
        </w:tc>
      </w:tr>
      <w:tr w:rsidR="00CD4514" w:rsidRPr="00A74D0D" w:rsidTr="00E96E2A">
        <w:trPr>
          <w:trHeight w:val="340"/>
          <w:jc w:val="center"/>
        </w:trPr>
        <w:tc>
          <w:tcPr>
            <w:tcW w:w="2471" w:type="pct"/>
            <w:vAlign w:val="center"/>
          </w:tcPr>
          <w:p w:rsidR="00CD4514" w:rsidRPr="00A74D0D" w:rsidRDefault="00CD4514" w:rsidP="00477F96">
            <w:pPr>
              <w:rPr>
                <w:rFonts w:ascii="Arial" w:hAnsi="Arial" w:cs="Arial"/>
                <w:sz w:val="18"/>
                <w:szCs w:val="18"/>
              </w:rPr>
            </w:pPr>
            <w:r w:rsidRPr="00A74D0D">
              <w:rPr>
                <w:rFonts w:ascii="Arial" w:hAnsi="Arial" w:cs="Arial"/>
                <w:sz w:val="18"/>
                <w:szCs w:val="18"/>
              </w:rPr>
              <w:t xml:space="preserve">Other Sectors </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60</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49</w:t>
            </w:r>
          </w:p>
        </w:tc>
        <w:tc>
          <w:tcPr>
            <w:tcW w:w="422"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63</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70</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42</w:t>
            </w:r>
          </w:p>
        </w:tc>
        <w:tc>
          <w:tcPr>
            <w:tcW w:w="422"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42</w:t>
            </w:r>
          </w:p>
        </w:tc>
      </w:tr>
      <w:tr w:rsidR="00CD4514" w:rsidRPr="00A74D0D" w:rsidTr="00E96E2A">
        <w:trPr>
          <w:trHeight w:val="340"/>
          <w:jc w:val="center"/>
        </w:trPr>
        <w:tc>
          <w:tcPr>
            <w:tcW w:w="2471" w:type="pct"/>
            <w:vAlign w:val="center"/>
          </w:tcPr>
          <w:p w:rsidR="00CD4514" w:rsidRPr="00A74D0D" w:rsidRDefault="00CD4514" w:rsidP="00477F96">
            <w:pPr>
              <w:rPr>
                <w:rStyle w:val="hps"/>
                <w:rFonts w:ascii="Arial" w:hAnsi="Arial" w:cs="Arial"/>
                <w:sz w:val="18"/>
                <w:szCs w:val="18"/>
              </w:rPr>
            </w:pPr>
            <w:r w:rsidRPr="00A74D0D">
              <w:rPr>
                <w:rFonts w:ascii="Arial" w:hAnsi="Arial" w:cs="Arial"/>
                <w:sz w:val="18"/>
                <w:szCs w:val="18"/>
              </w:rPr>
              <w:t>Direct investment: lending between affiliated companies</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4</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Pr>
              <w:t>0</w:t>
            </w:r>
          </w:p>
        </w:tc>
        <w:tc>
          <w:tcPr>
            <w:tcW w:w="422"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3</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5</w:t>
            </w:r>
          </w:p>
        </w:tc>
        <w:tc>
          <w:tcPr>
            <w:tcW w:w="421"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44</w:t>
            </w:r>
          </w:p>
        </w:tc>
        <w:tc>
          <w:tcPr>
            <w:tcW w:w="422" w:type="pct"/>
            <w:vAlign w:val="center"/>
          </w:tcPr>
          <w:p w:rsidR="00CD4514" w:rsidRPr="00A74D0D" w:rsidRDefault="00CD4514" w:rsidP="00477F96">
            <w:pPr>
              <w:jc w:val="right"/>
              <w:rPr>
                <w:rFonts w:ascii="Arial" w:hAnsi="Arial" w:cs="Arial"/>
                <w:sz w:val="18"/>
                <w:szCs w:val="18"/>
              </w:rPr>
            </w:pPr>
            <w:r w:rsidRPr="00A74D0D">
              <w:rPr>
                <w:rFonts w:ascii="Arial" w:hAnsi="Arial" w:cs="Arial"/>
                <w:sz w:val="18"/>
                <w:szCs w:val="18"/>
                <w:rtl/>
              </w:rPr>
              <w:t>44</w:t>
            </w:r>
          </w:p>
        </w:tc>
      </w:tr>
      <w:tr w:rsidR="00CD4514" w:rsidRPr="00A74D0D" w:rsidTr="00E96E2A">
        <w:trPr>
          <w:trHeight w:val="340"/>
          <w:jc w:val="center"/>
        </w:trPr>
        <w:tc>
          <w:tcPr>
            <w:tcW w:w="2471" w:type="pct"/>
            <w:tcBorders>
              <w:bottom w:val="single" w:sz="12" w:space="0" w:color="auto"/>
            </w:tcBorders>
            <w:vAlign w:val="center"/>
          </w:tcPr>
          <w:p w:rsidR="00CD4514" w:rsidRPr="00A74D0D" w:rsidRDefault="00CD4514" w:rsidP="00477F96">
            <w:pPr>
              <w:rPr>
                <w:rStyle w:val="hps"/>
                <w:rFonts w:ascii="Arial" w:hAnsi="Arial" w:cs="Arial"/>
                <w:b/>
                <w:bCs/>
                <w:sz w:val="18"/>
                <w:szCs w:val="18"/>
              </w:rPr>
            </w:pPr>
            <w:r w:rsidRPr="00A74D0D">
              <w:rPr>
                <w:rFonts w:ascii="Arial" w:hAnsi="Arial" w:cs="Arial"/>
                <w:b/>
                <w:bCs/>
                <w:sz w:val="18"/>
                <w:szCs w:val="18"/>
              </w:rPr>
              <w:t>Gross External Debt Position</w:t>
            </w:r>
          </w:p>
        </w:tc>
        <w:tc>
          <w:tcPr>
            <w:tcW w:w="421" w:type="pct"/>
            <w:tcBorders>
              <w:bottom w:val="single" w:sz="12" w:space="0" w:color="auto"/>
            </w:tcBorders>
            <w:vAlign w:val="center"/>
          </w:tcPr>
          <w:p w:rsidR="00CD4514" w:rsidRPr="00A74D0D" w:rsidRDefault="00CD4514" w:rsidP="00477F96">
            <w:pPr>
              <w:jc w:val="right"/>
              <w:rPr>
                <w:rFonts w:ascii="Arial" w:hAnsi="Arial" w:cs="Arial"/>
                <w:b/>
                <w:bCs/>
                <w:sz w:val="18"/>
                <w:szCs w:val="18"/>
              </w:rPr>
            </w:pPr>
            <w:r w:rsidRPr="00A74D0D">
              <w:rPr>
                <w:rFonts w:ascii="Arial" w:hAnsi="Arial" w:cs="Arial"/>
                <w:b/>
                <w:bCs/>
                <w:sz w:val="18"/>
                <w:szCs w:val="18"/>
                <w:rtl/>
              </w:rPr>
              <w:t>1,725</w:t>
            </w:r>
          </w:p>
        </w:tc>
        <w:tc>
          <w:tcPr>
            <w:tcW w:w="421" w:type="pct"/>
            <w:tcBorders>
              <w:bottom w:val="single" w:sz="12" w:space="0" w:color="auto"/>
            </w:tcBorders>
            <w:vAlign w:val="center"/>
          </w:tcPr>
          <w:p w:rsidR="00CD4514" w:rsidRPr="00A74D0D" w:rsidRDefault="00CD4514" w:rsidP="00477F96">
            <w:pPr>
              <w:jc w:val="right"/>
              <w:rPr>
                <w:rFonts w:ascii="Arial" w:hAnsi="Arial" w:cs="Arial"/>
                <w:b/>
                <w:bCs/>
                <w:sz w:val="18"/>
                <w:szCs w:val="18"/>
              </w:rPr>
            </w:pPr>
            <w:r w:rsidRPr="00A74D0D">
              <w:rPr>
                <w:rFonts w:ascii="Arial" w:hAnsi="Arial" w:cs="Arial"/>
                <w:b/>
                <w:bCs/>
                <w:sz w:val="18"/>
                <w:szCs w:val="18"/>
              </w:rPr>
              <w:t>1,542</w:t>
            </w:r>
          </w:p>
        </w:tc>
        <w:tc>
          <w:tcPr>
            <w:tcW w:w="422" w:type="pct"/>
            <w:tcBorders>
              <w:bottom w:val="single" w:sz="12" w:space="0" w:color="auto"/>
            </w:tcBorders>
            <w:vAlign w:val="center"/>
          </w:tcPr>
          <w:p w:rsidR="00CD4514" w:rsidRPr="00A74D0D" w:rsidRDefault="00CD4514" w:rsidP="00477F96">
            <w:pPr>
              <w:jc w:val="right"/>
              <w:rPr>
                <w:rFonts w:ascii="Arial" w:hAnsi="Arial" w:cs="Arial"/>
                <w:b/>
                <w:bCs/>
                <w:sz w:val="18"/>
                <w:szCs w:val="18"/>
              </w:rPr>
            </w:pPr>
            <w:r w:rsidRPr="00A74D0D">
              <w:rPr>
                <w:rFonts w:ascii="Arial" w:hAnsi="Arial" w:cs="Arial"/>
                <w:b/>
                <w:bCs/>
                <w:sz w:val="18"/>
                <w:szCs w:val="18"/>
              </w:rPr>
              <w:t>1,667</w:t>
            </w:r>
          </w:p>
        </w:tc>
        <w:tc>
          <w:tcPr>
            <w:tcW w:w="421" w:type="pct"/>
            <w:tcBorders>
              <w:bottom w:val="single" w:sz="12" w:space="0" w:color="auto"/>
            </w:tcBorders>
            <w:vAlign w:val="center"/>
          </w:tcPr>
          <w:p w:rsidR="00CD4514" w:rsidRPr="00A74D0D" w:rsidRDefault="00CD4514" w:rsidP="00477F96">
            <w:pPr>
              <w:jc w:val="right"/>
              <w:rPr>
                <w:rFonts w:ascii="Arial" w:hAnsi="Arial" w:cs="Arial"/>
                <w:b/>
                <w:bCs/>
                <w:sz w:val="18"/>
                <w:szCs w:val="18"/>
              </w:rPr>
            </w:pPr>
            <w:r w:rsidRPr="00A74D0D">
              <w:rPr>
                <w:rFonts w:ascii="Arial" w:hAnsi="Arial" w:cs="Arial"/>
                <w:b/>
                <w:bCs/>
                <w:sz w:val="18"/>
                <w:szCs w:val="18"/>
                <w:rtl/>
              </w:rPr>
              <w:t>1,615</w:t>
            </w:r>
          </w:p>
        </w:tc>
        <w:tc>
          <w:tcPr>
            <w:tcW w:w="421" w:type="pct"/>
            <w:tcBorders>
              <w:bottom w:val="single" w:sz="12" w:space="0" w:color="auto"/>
            </w:tcBorders>
            <w:vAlign w:val="center"/>
          </w:tcPr>
          <w:p w:rsidR="00CD4514" w:rsidRPr="00A74D0D" w:rsidRDefault="00CD4514" w:rsidP="00477F96">
            <w:pPr>
              <w:bidi/>
              <w:rPr>
                <w:rFonts w:ascii="Arial" w:hAnsi="Arial" w:cs="Arial"/>
                <w:b/>
                <w:bCs/>
                <w:sz w:val="18"/>
                <w:szCs w:val="18"/>
              </w:rPr>
            </w:pPr>
            <w:r w:rsidRPr="00A74D0D">
              <w:rPr>
                <w:rFonts w:ascii="Arial" w:hAnsi="Arial" w:cs="Arial"/>
                <w:b/>
                <w:bCs/>
                <w:sz w:val="18"/>
                <w:szCs w:val="18"/>
                <w:rtl/>
              </w:rPr>
              <w:t>1,731</w:t>
            </w:r>
          </w:p>
        </w:tc>
        <w:tc>
          <w:tcPr>
            <w:tcW w:w="422" w:type="pct"/>
            <w:tcBorders>
              <w:bottom w:val="single" w:sz="12" w:space="0" w:color="auto"/>
            </w:tcBorders>
            <w:vAlign w:val="center"/>
          </w:tcPr>
          <w:p w:rsidR="00CD4514" w:rsidRPr="00A74D0D" w:rsidRDefault="00CD4514" w:rsidP="00477F96">
            <w:pPr>
              <w:bidi/>
              <w:rPr>
                <w:rFonts w:ascii="Arial" w:hAnsi="Arial" w:cs="Arial"/>
                <w:b/>
                <w:bCs/>
                <w:sz w:val="18"/>
                <w:szCs w:val="18"/>
              </w:rPr>
            </w:pPr>
            <w:r w:rsidRPr="00A74D0D">
              <w:rPr>
                <w:rFonts w:ascii="Arial" w:hAnsi="Arial" w:cs="Arial"/>
                <w:b/>
                <w:bCs/>
                <w:sz w:val="18"/>
                <w:szCs w:val="18"/>
                <w:rtl/>
              </w:rPr>
              <w:t>1,535</w:t>
            </w:r>
          </w:p>
        </w:tc>
      </w:tr>
    </w:tbl>
    <w:p w:rsidR="00CD4514" w:rsidRPr="00477F96" w:rsidRDefault="00CD4514" w:rsidP="00AB01C3">
      <w:pPr>
        <w:tabs>
          <w:tab w:val="left" w:pos="1833"/>
          <w:tab w:val="center" w:pos="4507"/>
        </w:tabs>
        <w:spacing w:after="0" w:line="240" w:lineRule="auto"/>
        <w:ind w:left="-113" w:right="-57"/>
        <w:rPr>
          <w:rFonts w:ascii="Times New Roman" w:hAnsi="Times New Roman" w:cs="Times New Roman"/>
          <w:sz w:val="18"/>
          <w:szCs w:val="18"/>
        </w:rPr>
      </w:pPr>
      <w:r w:rsidRPr="00477F96">
        <w:rPr>
          <w:rFonts w:ascii="Times New Roman" w:hAnsi="Times New Roman" w:cs="Times New Roman"/>
          <w:sz w:val="18"/>
          <w:szCs w:val="18"/>
        </w:rPr>
        <w:t xml:space="preserve"> </w:t>
      </w:r>
      <w:r w:rsidR="00E66E2C">
        <w:rPr>
          <w:rFonts w:ascii="Times New Roman" w:hAnsi="Times New Roman" w:cs="Times New Roman"/>
          <w:sz w:val="18"/>
          <w:szCs w:val="18"/>
        </w:rPr>
        <w:t xml:space="preserve"> </w:t>
      </w:r>
      <w:r w:rsidRPr="00477F96">
        <w:rPr>
          <w:rFonts w:ascii="Times New Roman" w:hAnsi="Times New Roman" w:cs="Times New Roman"/>
          <w:sz w:val="18"/>
          <w:szCs w:val="18"/>
        </w:rPr>
        <w:t xml:space="preserve">*Represents the data for </w:t>
      </w:r>
      <w:r w:rsidR="00FA0800">
        <w:rPr>
          <w:rFonts w:ascii="Times New Roman" w:hAnsi="Times New Roman" w:cs="Times New Roman"/>
          <w:sz w:val="18"/>
          <w:szCs w:val="18"/>
        </w:rPr>
        <w:t xml:space="preserve">end of </w:t>
      </w:r>
      <w:r w:rsidRPr="00477F96">
        <w:rPr>
          <w:rFonts w:ascii="Times New Roman" w:hAnsi="Times New Roman" w:cs="Times New Roman"/>
          <w:sz w:val="18"/>
          <w:szCs w:val="18"/>
        </w:rPr>
        <w:t>fourth quarter 2018</w:t>
      </w:r>
      <w:r w:rsidRPr="00477F96">
        <w:rPr>
          <w:rFonts w:ascii="Times New Roman" w:hAnsi="Times New Roman" w:cs="Times New Roman"/>
          <w:sz w:val="18"/>
          <w:szCs w:val="18"/>
        </w:rPr>
        <w:tab/>
      </w:r>
      <w:r w:rsidRPr="00477F96">
        <w:rPr>
          <w:rFonts w:ascii="Times New Roman" w:hAnsi="Times New Roman" w:cs="Times New Roman"/>
          <w:sz w:val="18"/>
          <w:szCs w:val="18"/>
        </w:rPr>
        <w:tab/>
      </w:r>
    </w:p>
    <w:p w:rsidR="00CD4514" w:rsidRPr="00477F96" w:rsidRDefault="00CD4514" w:rsidP="00477F96">
      <w:pPr>
        <w:spacing w:after="0" w:line="240" w:lineRule="auto"/>
        <w:ind w:left="-113" w:right="-57"/>
        <w:rPr>
          <w:rFonts w:ascii="Times New Roman" w:hAnsi="Times New Roman" w:cs="Times New Roman"/>
          <w:sz w:val="16"/>
          <w:szCs w:val="16"/>
        </w:rPr>
      </w:pPr>
    </w:p>
    <w:p w:rsidR="00CD4514" w:rsidRPr="00477F96" w:rsidRDefault="00CD4514" w:rsidP="00477F96">
      <w:pPr>
        <w:spacing w:after="0" w:line="240" w:lineRule="auto"/>
        <w:ind w:left="-113" w:right="-57"/>
        <w:rPr>
          <w:rFonts w:ascii="Times New Roman" w:hAnsi="Times New Roman" w:cs="Times New Roman"/>
          <w:sz w:val="16"/>
          <w:szCs w:val="16"/>
        </w:rPr>
      </w:pPr>
    </w:p>
    <w:p w:rsidR="00CD4514" w:rsidRPr="00477F96" w:rsidRDefault="00CD4514" w:rsidP="00477F96">
      <w:pPr>
        <w:spacing w:after="0" w:line="240" w:lineRule="auto"/>
        <w:rPr>
          <w:rFonts w:ascii="Times New Roman" w:hAnsi="Times New Roman" w:cs="Times New Roman"/>
          <w:sz w:val="16"/>
          <w:szCs w:val="16"/>
        </w:rPr>
      </w:pPr>
      <w:r w:rsidRPr="00477F96">
        <w:rPr>
          <w:rFonts w:ascii="Times New Roman" w:hAnsi="Times New Roman" w:cs="Times New Roman"/>
          <w:sz w:val="16"/>
          <w:szCs w:val="16"/>
        </w:rPr>
        <w:br w:type="page"/>
      </w:r>
    </w:p>
    <w:p w:rsidR="00CD4514" w:rsidRPr="00477F96" w:rsidRDefault="00CD4514" w:rsidP="00477F96">
      <w:pPr>
        <w:spacing w:after="0" w:line="240" w:lineRule="auto"/>
        <w:jc w:val="center"/>
        <w:rPr>
          <w:rFonts w:ascii="Times New Roman" w:hAnsi="Times New Roman" w:cs="Times New Roman"/>
          <w:b/>
          <w:bCs/>
          <w:sz w:val="28"/>
          <w:szCs w:val="28"/>
        </w:rPr>
      </w:pPr>
      <w:r w:rsidRPr="00477F96">
        <w:rPr>
          <w:rFonts w:ascii="Times New Roman" w:hAnsi="Times New Roman" w:cs="Times New Roman"/>
          <w:b/>
          <w:bCs/>
          <w:sz w:val="28"/>
          <w:szCs w:val="28"/>
        </w:rPr>
        <w:lastRenderedPageBreak/>
        <w:t>Annexes</w:t>
      </w:r>
    </w:p>
    <w:p w:rsidR="00CD4514" w:rsidRPr="00477F96" w:rsidRDefault="00CD4514" w:rsidP="00477F96">
      <w:pPr>
        <w:spacing w:after="0" w:line="240" w:lineRule="auto"/>
        <w:jc w:val="center"/>
        <w:rPr>
          <w:rFonts w:ascii="Times New Roman" w:hAnsi="Times New Roman" w:cs="Times New Roman"/>
          <w:b/>
          <w:bCs/>
        </w:rPr>
      </w:pPr>
    </w:p>
    <w:p w:rsidR="00CD4514" w:rsidRPr="00E66E2C" w:rsidRDefault="00CD4514" w:rsidP="00477F96">
      <w:pPr>
        <w:spacing w:after="0" w:line="240" w:lineRule="auto"/>
        <w:jc w:val="center"/>
        <w:rPr>
          <w:rFonts w:ascii="Arial" w:hAnsi="Arial" w:cs="Arial"/>
          <w:b/>
          <w:bCs/>
        </w:rPr>
      </w:pPr>
      <w:r w:rsidRPr="00E66E2C">
        <w:rPr>
          <w:rFonts w:ascii="Arial" w:hAnsi="Arial" w:cs="Arial"/>
          <w:b/>
          <w:bCs/>
        </w:rPr>
        <w:t>Average exchange rate of USD to NIS,</w:t>
      </w:r>
      <w:bookmarkStart w:id="0" w:name="_GoBack"/>
      <w:bookmarkEnd w:id="0"/>
      <w:r w:rsidRPr="00E66E2C">
        <w:rPr>
          <w:rFonts w:ascii="Arial" w:hAnsi="Arial" w:cs="Arial"/>
          <w:b/>
          <w:bCs/>
        </w:rPr>
        <w:t xml:space="preserve"> </w:t>
      </w:r>
      <w:r w:rsidRPr="00E66E2C">
        <w:rPr>
          <w:rFonts w:ascii="Arial" w:hAnsi="Arial" w:cs="Arial"/>
          <w:b/>
          <w:bCs/>
          <w:rtl/>
        </w:rPr>
        <w:t>2013</w:t>
      </w:r>
      <w:r w:rsidR="00EF105D">
        <w:rPr>
          <w:rFonts w:ascii="Arial" w:hAnsi="Arial" w:cs="Arial"/>
          <w:b/>
          <w:bCs/>
        </w:rPr>
        <w:t>-</w:t>
      </w:r>
      <w:r w:rsidRPr="00E66E2C">
        <w:rPr>
          <w:rFonts w:ascii="Arial" w:hAnsi="Arial" w:cs="Arial"/>
          <w:b/>
          <w:bCs/>
          <w:rtl/>
        </w:rPr>
        <w:t>2018</w:t>
      </w:r>
    </w:p>
    <w:p w:rsidR="00CD4514" w:rsidRPr="00477F96" w:rsidRDefault="00CD4514" w:rsidP="00477F96">
      <w:pPr>
        <w:spacing w:after="0" w:line="240" w:lineRule="auto"/>
        <w:jc w:val="center"/>
        <w:rPr>
          <w:rFonts w:ascii="Times New Roman" w:hAnsi="Times New Roman" w:cs="Times New Roman"/>
          <w:b/>
          <w:bCs/>
          <w:sz w:val="12"/>
          <w:szCs w:val="12"/>
          <w:lang w:val="en-US"/>
        </w:rPr>
      </w:pPr>
    </w:p>
    <w:tbl>
      <w:tblPr>
        <w:tblStyle w:val="TableGrid"/>
        <w:tblW w:w="9072" w:type="dxa"/>
        <w:jc w:val="center"/>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ook w:val="04A0"/>
      </w:tblPr>
      <w:tblGrid>
        <w:gridCol w:w="2372"/>
        <w:gridCol w:w="1116"/>
        <w:gridCol w:w="1118"/>
        <w:gridCol w:w="1116"/>
        <w:gridCol w:w="1118"/>
        <w:gridCol w:w="1116"/>
        <w:gridCol w:w="1116"/>
      </w:tblGrid>
      <w:tr w:rsidR="00CD4514" w:rsidRPr="00A74D0D" w:rsidTr="00E66E2C">
        <w:trPr>
          <w:trHeight w:val="340"/>
          <w:jc w:val="center"/>
        </w:trPr>
        <w:tc>
          <w:tcPr>
            <w:tcW w:w="1308" w:type="pct"/>
          </w:tcPr>
          <w:p w:rsidR="00CD4514" w:rsidRPr="00A74D0D" w:rsidRDefault="00CD4514" w:rsidP="00477F96">
            <w:pPr>
              <w:jc w:val="both"/>
              <w:rPr>
                <w:rFonts w:ascii="Arial" w:hAnsi="Arial" w:cs="Arial"/>
                <w:sz w:val="24"/>
                <w:szCs w:val="24"/>
              </w:rPr>
            </w:pPr>
          </w:p>
        </w:tc>
        <w:tc>
          <w:tcPr>
            <w:tcW w:w="615" w:type="pct"/>
            <w:vAlign w:val="center"/>
          </w:tcPr>
          <w:p w:rsidR="00CD4514" w:rsidRPr="00A74D0D" w:rsidRDefault="00CD4514" w:rsidP="00477F96">
            <w:pPr>
              <w:jc w:val="center"/>
              <w:rPr>
                <w:rFonts w:ascii="Arial" w:hAnsi="Arial" w:cs="Arial"/>
                <w:b/>
                <w:bCs/>
                <w:sz w:val="18"/>
                <w:szCs w:val="18"/>
              </w:rPr>
            </w:pPr>
            <w:r w:rsidRPr="00A74D0D">
              <w:rPr>
                <w:rFonts w:ascii="Arial" w:hAnsi="Arial" w:cs="Arial"/>
                <w:b/>
                <w:bCs/>
                <w:sz w:val="18"/>
                <w:szCs w:val="18"/>
              </w:rPr>
              <w:t>2013</w:t>
            </w:r>
          </w:p>
        </w:tc>
        <w:tc>
          <w:tcPr>
            <w:tcW w:w="616" w:type="pct"/>
            <w:vAlign w:val="center"/>
          </w:tcPr>
          <w:p w:rsidR="00CD4514" w:rsidRPr="00A74D0D" w:rsidRDefault="00CD4514" w:rsidP="00477F96">
            <w:pPr>
              <w:jc w:val="center"/>
              <w:rPr>
                <w:rFonts w:ascii="Arial" w:hAnsi="Arial" w:cs="Arial"/>
                <w:b/>
                <w:bCs/>
                <w:sz w:val="18"/>
                <w:szCs w:val="18"/>
              </w:rPr>
            </w:pPr>
            <w:r w:rsidRPr="00A74D0D">
              <w:rPr>
                <w:rFonts w:ascii="Arial" w:hAnsi="Arial" w:cs="Arial"/>
                <w:b/>
                <w:bCs/>
                <w:sz w:val="18"/>
                <w:szCs w:val="18"/>
              </w:rPr>
              <w:t>2014</w:t>
            </w:r>
          </w:p>
        </w:tc>
        <w:tc>
          <w:tcPr>
            <w:tcW w:w="615" w:type="pct"/>
            <w:vAlign w:val="center"/>
          </w:tcPr>
          <w:p w:rsidR="00CD4514" w:rsidRPr="00A74D0D" w:rsidRDefault="00CD4514" w:rsidP="00477F96">
            <w:pPr>
              <w:jc w:val="center"/>
              <w:rPr>
                <w:rFonts w:ascii="Arial" w:hAnsi="Arial" w:cs="Arial"/>
                <w:b/>
                <w:bCs/>
                <w:sz w:val="18"/>
                <w:szCs w:val="18"/>
              </w:rPr>
            </w:pPr>
            <w:r w:rsidRPr="00A74D0D">
              <w:rPr>
                <w:rFonts w:ascii="Arial" w:hAnsi="Arial" w:cs="Arial"/>
                <w:b/>
                <w:bCs/>
                <w:sz w:val="18"/>
                <w:szCs w:val="18"/>
              </w:rPr>
              <w:t>2015</w:t>
            </w:r>
          </w:p>
        </w:tc>
        <w:tc>
          <w:tcPr>
            <w:tcW w:w="616" w:type="pct"/>
            <w:vAlign w:val="center"/>
          </w:tcPr>
          <w:p w:rsidR="00CD4514" w:rsidRPr="00A74D0D" w:rsidRDefault="00CD4514" w:rsidP="00477F96">
            <w:pPr>
              <w:jc w:val="center"/>
              <w:rPr>
                <w:rFonts w:ascii="Arial" w:hAnsi="Arial" w:cs="Arial"/>
                <w:b/>
                <w:bCs/>
                <w:sz w:val="18"/>
                <w:szCs w:val="18"/>
              </w:rPr>
            </w:pPr>
            <w:r w:rsidRPr="00A74D0D">
              <w:rPr>
                <w:rFonts w:ascii="Arial" w:hAnsi="Arial" w:cs="Arial"/>
                <w:b/>
                <w:bCs/>
                <w:sz w:val="18"/>
                <w:szCs w:val="18"/>
              </w:rPr>
              <w:t>2016</w:t>
            </w:r>
          </w:p>
        </w:tc>
        <w:tc>
          <w:tcPr>
            <w:tcW w:w="615" w:type="pct"/>
            <w:vAlign w:val="center"/>
          </w:tcPr>
          <w:p w:rsidR="00CD4514" w:rsidRPr="00A74D0D" w:rsidRDefault="00CD4514" w:rsidP="00477F96">
            <w:pPr>
              <w:jc w:val="center"/>
              <w:rPr>
                <w:rFonts w:ascii="Arial" w:hAnsi="Arial" w:cs="Arial"/>
                <w:b/>
                <w:bCs/>
                <w:sz w:val="18"/>
                <w:szCs w:val="18"/>
              </w:rPr>
            </w:pPr>
            <w:r w:rsidRPr="00A74D0D">
              <w:rPr>
                <w:rFonts w:ascii="Arial" w:hAnsi="Arial" w:cs="Arial"/>
                <w:b/>
                <w:bCs/>
                <w:sz w:val="18"/>
                <w:szCs w:val="18"/>
                <w:rtl/>
              </w:rPr>
              <w:t>2017</w:t>
            </w:r>
          </w:p>
        </w:tc>
        <w:tc>
          <w:tcPr>
            <w:tcW w:w="615" w:type="pct"/>
            <w:vAlign w:val="center"/>
          </w:tcPr>
          <w:p w:rsidR="00CD4514" w:rsidRPr="00A74D0D" w:rsidRDefault="00CD4514" w:rsidP="00477F96">
            <w:pPr>
              <w:jc w:val="center"/>
              <w:rPr>
                <w:rFonts w:ascii="Arial" w:hAnsi="Arial" w:cs="Arial"/>
                <w:b/>
                <w:bCs/>
                <w:sz w:val="18"/>
                <w:szCs w:val="18"/>
              </w:rPr>
            </w:pPr>
            <w:r w:rsidRPr="00A74D0D">
              <w:rPr>
                <w:rFonts w:ascii="Arial" w:hAnsi="Arial" w:cs="Arial"/>
                <w:b/>
                <w:bCs/>
                <w:sz w:val="18"/>
                <w:szCs w:val="18"/>
                <w:rtl/>
              </w:rPr>
              <w:t>2018</w:t>
            </w:r>
          </w:p>
        </w:tc>
      </w:tr>
      <w:tr w:rsidR="00CD4514" w:rsidRPr="00A74D0D" w:rsidTr="00E66E2C">
        <w:trPr>
          <w:trHeight w:val="340"/>
          <w:jc w:val="center"/>
        </w:trPr>
        <w:tc>
          <w:tcPr>
            <w:tcW w:w="1308" w:type="pct"/>
            <w:vAlign w:val="center"/>
          </w:tcPr>
          <w:p w:rsidR="00CD4514" w:rsidRPr="00A74D0D" w:rsidRDefault="00CD4514" w:rsidP="00477F96">
            <w:pPr>
              <w:rPr>
                <w:rFonts w:ascii="Arial" w:hAnsi="Arial" w:cs="Arial"/>
                <w:b/>
                <w:bCs/>
                <w:sz w:val="18"/>
                <w:szCs w:val="18"/>
              </w:rPr>
            </w:pPr>
            <w:r w:rsidRPr="00A74D0D">
              <w:rPr>
                <w:rFonts w:ascii="Arial" w:hAnsi="Arial" w:cs="Arial"/>
                <w:b/>
                <w:bCs/>
                <w:sz w:val="18"/>
                <w:szCs w:val="18"/>
              </w:rPr>
              <w:t>Annual average</w:t>
            </w:r>
          </w:p>
        </w:tc>
        <w:tc>
          <w:tcPr>
            <w:tcW w:w="615" w:type="pct"/>
            <w:vAlign w:val="center"/>
          </w:tcPr>
          <w:p w:rsidR="00CD4514" w:rsidRPr="00A74D0D" w:rsidRDefault="00CD4514" w:rsidP="00477F96">
            <w:pPr>
              <w:jc w:val="center"/>
              <w:rPr>
                <w:rFonts w:ascii="Arial" w:hAnsi="Arial" w:cs="Arial"/>
                <w:sz w:val="18"/>
                <w:szCs w:val="18"/>
              </w:rPr>
            </w:pPr>
            <w:r w:rsidRPr="00A74D0D">
              <w:rPr>
                <w:rFonts w:ascii="Arial" w:hAnsi="Arial" w:cs="Arial"/>
                <w:sz w:val="18"/>
                <w:szCs w:val="18"/>
              </w:rPr>
              <w:t>3.61</w:t>
            </w:r>
          </w:p>
        </w:tc>
        <w:tc>
          <w:tcPr>
            <w:tcW w:w="616" w:type="pct"/>
            <w:vAlign w:val="center"/>
          </w:tcPr>
          <w:p w:rsidR="00CD4514" w:rsidRPr="00A74D0D" w:rsidRDefault="00CD4514" w:rsidP="00477F96">
            <w:pPr>
              <w:jc w:val="center"/>
              <w:rPr>
                <w:rFonts w:ascii="Arial" w:hAnsi="Arial" w:cs="Arial"/>
                <w:sz w:val="18"/>
                <w:szCs w:val="18"/>
              </w:rPr>
            </w:pPr>
            <w:r w:rsidRPr="00A74D0D">
              <w:rPr>
                <w:rFonts w:ascii="Arial" w:hAnsi="Arial" w:cs="Arial"/>
                <w:sz w:val="18"/>
                <w:szCs w:val="18"/>
              </w:rPr>
              <w:t>3.5</w:t>
            </w:r>
            <w:r w:rsidRPr="00A74D0D">
              <w:rPr>
                <w:rFonts w:ascii="Arial" w:hAnsi="Arial" w:cs="Arial"/>
                <w:sz w:val="18"/>
                <w:szCs w:val="18"/>
                <w:rtl/>
              </w:rPr>
              <w:t>8</w:t>
            </w:r>
          </w:p>
        </w:tc>
        <w:tc>
          <w:tcPr>
            <w:tcW w:w="615" w:type="pct"/>
            <w:vAlign w:val="center"/>
          </w:tcPr>
          <w:p w:rsidR="00CD4514" w:rsidRPr="00A74D0D" w:rsidRDefault="00CD4514" w:rsidP="00477F96">
            <w:pPr>
              <w:jc w:val="center"/>
              <w:rPr>
                <w:rFonts w:ascii="Arial" w:hAnsi="Arial" w:cs="Arial"/>
                <w:sz w:val="18"/>
                <w:szCs w:val="18"/>
              </w:rPr>
            </w:pPr>
            <w:r w:rsidRPr="00A74D0D">
              <w:rPr>
                <w:rFonts w:ascii="Arial" w:hAnsi="Arial" w:cs="Arial"/>
                <w:sz w:val="18"/>
                <w:szCs w:val="18"/>
              </w:rPr>
              <w:t>3.88</w:t>
            </w:r>
          </w:p>
        </w:tc>
        <w:tc>
          <w:tcPr>
            <w:tcW w:w="616" w:type="pct"/>
            <w:vAlign w:val="center"/>
          </w:tcPr>
          <w:p w:rsidR="00CD4514" w:rsidRPr="00A74D0D" w:rsidRDefault="00CD4514" w:rsidP="00477F96">
            <w:pPr>
              <w:jc w:val="center"/>
              <w:rPr>
                <w:rFonts w:ascii="Arial" w:hAnsi="Arial" w:cs="Arial"/>
                <w:sz w:val="18"/>
                <w:szCs w:val="18"/>
              </w:rPr>
            </w:pPr>
            <w:r w:rsidRPr="00A74D0D">
              <w:rPr>
                <w:rFonts w:ascii="Arial" w:hAnsi="Arial" w:cs="Arial"/>
                <w:sz w:val="18"/>
                <w:szCs w:val="18"/>
              </w:rPr>
              <w:t>3.84</w:t>
            </w:r>
          </w:p>
        </w:tc>
        <w:tc>
          <w:tcPr>
            <w:tcW w:w="615" w:type="pct"/>
            <w:vAlign w:val="center"/>
          </w:tcPr>
          <w:p w:rsidR="00CD4514" w:rsidRPr="00A74D0D" w:rsidRDefault="00CD4514" w:rsidP="00477F96">
            <w:pPr>
              <w:jc w:val="center"/>
              <w:rPr>
                <w:rFonts w:ascii="Arial" w:hAnsi="Arial" w:cs="Arial"/>
                <w:sz w:val="18"/>
                <w:szCs w:val="18"/>
              </w:rPr>
            </w:pPr>
            <w:r w:rsidRPr="00A74D0D">
              <w:rPr>
                <w:rFonts w:ascii="Arial" w:hAnsi="Arial" w:cs="Arial"/>
                <w:sz w:val="18"/>
                <w:szCs w:val="18"/>
                <w:rtl/>
              </w:rPr>
              <w:t>3.60</w:t>
            </w:r>
          </w:p>
        </w:tc>
        <w:tc>
          <w:tcPr>
            <w:tcW w:w="615" w:type="pct"/>
            <w:vAlign w:val="center"/>
          </w:tcPr>
          <w:p w:rsidR="00CD4514" w:rsidRPr="00A74D0D" w:rsidRDefault="00CD4514" w:rsidP="00477F96">
            <w:pPr>
              <w:jc w:val="center"/>
              <w:rPr>
                <w:rFonts w:ascii="Arial" w:hAnsi="Arial" w:cs="Arial"/>
                <w:sz w:val="18"/>
                <w:szCs w:val="18"/>
              </w:rPr>
            </w:pPr>
            <w:r w:rsidRPr="00A74D0D">
              <w:rPr>
                <w:rFonts w:ascii="Arial" w:hAnsi="Arial" w:cs="Arial"/>
                <w:sz w:val="18"/>
                <w:szCs w:val="18"/>
                <w:rtl/>
              </w:rPr>
              <w:t>3.59</w:t>
            </w:r>
          </w:p>
        </w:tc>
      </w:tr>
    </w:tbl>
    <w:p w:rsidR="00CD4514" w:rsidRPr="00477F96" w:rsidRDefault="00CD4514" w:rsidP="00477F96">
      <w:pPr>
        <w:spacing w:after="0" w:line="240" w:lineRule="auto"/>
        <w:jc w:val="center"/>
        <w:rPr>
          <w:rFonts w:ascii="Times New Roman" w:hAnsi="Times New Roman" w:cs="Times New Roman"/>
          <w:sz w:val="24"/>
          <w:szCs w:val="24"/>
        </w:rPr>
      </w:pPr>
    </w:p>
    <w:p w:rsidR="00A74D0D" w:rsidRDefault="00A74D0D" w:rsidP="00477F96">
      <w:pPr>
        <w:spacing w:after="0" w:line="240" w:lineRule="auto"/>
        <w:jc w:val="center"/>
        <w:rPr>
          <w:rFonts w:ascii="Arial" w:hAnsi="Arial" w:cs="Arial"/>
          <w:b/>
          <w:bCs/>
          <w:sz w:val="24"/>
          <w:szCs w:val="24"/>
        </w:rPr>
      </w:pPr>
    </w:p>
    <w:p w:rsidR="00A74D0D" w:rsidRDefault="00A74D0D" w:rsidP="00477F96">
      <w:pPr>
        <w:spacing w:after="0" w:line="240" w:lineRule="auto"/>
        <w:jc w:val="center"/>
        <w:rPr>
          <w:rFonts w:ascii="Arial" w:hAnsi="Arial" w:cs="Arial"/>
          <w:b/>
          <w:bCs/>
          <w:sz w:val="24"/>
          <w:szCs w:val="24"/>
        </w:rPr>
      </w:pPr>
    </w:p>
    <w:p w:rsidR="00CD4514" w:rsidRDefault="00CD4514" w:rsidP="00477F96">
      <w:pPr>
        <w:spacing w:after="0" w:line="240" w:lineRule="auto"/>
        <w:jc w:val="center"/>
        <w:rPr>
          <w:rFonts w:ascii="Arial" w:hAnsi="Arial" w:cs="Arial"/>
          <w:b/>
          <w:bCs/>
          <w:sz w:val="24"/>
          <w:szCs w:val="24"/>
        </w:rPr>
      </w:pPr>
      <w:r w:rsidRPr="00E66E2C">
        <w:rPr>
          <w:rFonts w:ascii="Arial" w:hAnsi="Arial" w:cs="Arial"/>
          <w:b/>
          <w:bCs/>
          <w:sz w:val="24"/>
          <w:szCs w:val="24"/>
        </w:rPr>
        <w:t>Economic Activities List</w:t>
      </w:r>
    </w:p>
    <w:p w:rsidR="00F72738" w:rsidRPr="00F72738" w:rsidRDefault="00F72738" w:rsidP="00477F96">
      <w:pPr>
        <w:spacing w:after="0" w:line="240" w:lineRule="auto"/>
        <w:jc w:val="center"/>
        <w:rPr>
          <w:rFonts w:ascii="Arial" w:hAnsi="Arial" w:cs="Arial"/>
          <w:b/>
          <w:bCs/>
          <w:sz w:val="10"/>
          <w:szCs w:val="10"/>
        </w:rPr>
      </w:pPr>
    </w:p>
    <w:tbl>
      <w:tblPr>
        <w:tblStyle w:val="TableGrid"/>
        <w:tblW w:w="9072" w:type="dxa"/>
        <w:jc w:val="center"/>
        <w:tblLayout w:type="fixed"/>
        <w:tblLook w:val="04A0"/>
      </w:tblPr>
      <w:tblGrid>
        <w:gridCol w:w="3293"/>
        <w:gridCol w:w="5779"/>
      </w:tblGrid>
      <w:tr w:rsidR="00CD4514" w:rsidRPr="00A74D0D" w:rsidTr="00B24670">
        <w:trPr>
          <w:trHeight w:val="340"/>
          <w:jc w:val="center"/>
        </w:trPr>
        <w:tc>
          <w:tcPr>
            <w:tcW w:w="9287" w:type="dxa"/>
            <w:gridSpan w:val="2"/>
            <w:tcBorders>
              <w:top w:val="single" w:sz="12" w:space="0" w:color="auto"/>
              <w:left w:val="nil"/>
              <w:bottom w:val="single" w:sz="12" w:space="0" w:color="auto"/>
              <w:right w:val="nil"/>
            </w:tcBorders>
            <w:vAlign w:val="center"/>
          </w:tcPr>
          <w:p w:rsidR="00CD4514" w:rsidRPr="00A74D0D" w:rsidRDefault="00CD4514" w:rsidP="00477F96">
            <w:pPr>
              <w:jc w:val="center"/>
              <w:rPr>
                <w:rFonts w:ascii="Arial" w:hAnsi="Arial" w:cs="Arial"/>
                <w:b/>
                <w:bCs/>
                <w:sz w:val="18"/>
                <w:szCs w:val="18"/>
              </w:rPr>
            </w:pPr>
            <w:r w:rsidRPr="00A74D0D">
              <w:rPr>
                <w:rFonts w:ascii="Arial" w:hAnsi="Arial" w:cs="Arial"/>
                <w:b/>
                <w:bCs/>
                <w:sz w:val="18"/>
                <w:szCs w:val="18"/>
              </w:rPr>
              <w:t>Economic Activities</w:t>
            </w:r>
          </w:p>
        </w:tc>
      </w:tr>
      <w:tr w:rsidR="00CD4514" w:rsidRPr="00A74D0D" w:rsidTr="00B24670">
        <w:trPr>
          <w:trHeight w:val="340"/>
          <w:jc w:val="center"/>
        </w:trPr>
        <w:tc>
          <w:tcPr>
            <w:tcW w:w="3369" w:type="dxa"/>
            <w:tcBorders>
              <w:top w:val="single" w:sz="12" w:space="0" w:color="auto"/>
              <w:left w:val="nil"/>
              <w:bottom w:val="nil"/>
              <w:right w:val="nil"/>
            </w:tcBorders>
            <w:vAlign w:val="center"/>
          </w:tcPr>
          <w:p w:rsidR="00CD4514" w:rsidRPr="00A74D0D" w:rsidRDefault="00CD4514" w:rsidP="00477F96">
            <w:pPr>
              <w:rPr>
                <w:rFonts w:ascii="Arial" w:hAnsi="Arial" w:cs="Arial"/>
                <w:b/>
                <w:bCs/>
                <w:sz w:val="18"/>
                <w:szCs w:val="18"/>
              </w:rPr>
            </w:pPr>
            <w:r w:rsidRPr="00A74D0D">
              <w:rPr>
                <w:rFonts w:ascii="Arial" w:hAnsi="Arial" w:cs="Arial"/>
                <w:b/>
                <w:bCs/>
                <w:sz w:val="18"/>
                <w:szCs w:val="18"/>
              </w:rPr>
              <w:t>Agriculture</w:t>
            </w:r>
          </w:p>
        </w:tc>
        <w:tc>
          <w:tcPr>
            <w:tcW w:w="5918" w:type="dxa"/>
            <w:tcBorders>
              <w:top w:val="single" w:sz="12" w:space="0" w:color="auto"/>
              <w:left w:val="nil"/>
              <w:bottom w:val="nil"/>
              <w:right w:val="nil"/>
            </w:tcBorders>
            <w:vAlign w:val="center"/>
          </w:tcPr>
          <w:p w:rsidR="00CD4514" w:rsidRPr="00A74D0D" w:rsidRDefault="00CD4514" w:rsidP="00477F96">
            <w:pPr>
              <w:jc w:val="both"/>
              <w:rPr>
                <w:rFonts w:ascii="Arial" w:hAnsi="Arial" w:cs="Arial"/>
                <w:sz w:val="18"/>
                <w:szCs w:val="18"/>
              </w:rPr>
            </w:pPr>
            <w:r w:rsidRPr="00A74D0D">
              <w:rPr>
                <w:rFonts w:ascii="Arial" w:hAnsi="Arial" w:cs="Arial"/>
                <w:sz w:val="18"/>
                <w:szCs w:val="18"/>
              </w:rPr>
              <w:t>Agriculture, forestry and fishing</w:t>
            </w:r>
          </w:p>
        </w:tc>
      </w:tr>
      <w:tr w:rsidR="00CD4514" w:rsidRPr="00A74D0D" w:rsidTr="00B24670">
        <w:trPr>
          <w:trHeight w:val="340"/>
          <w:jc w:val="center"/>
        </w:trPr>
        <w:tc>
          <w:tcPr>
            <w:tcW w:w="3369" w:type="dxa"/>
            <w:tcBorders>
              <w:top w:val="nil"/>
              <w:left w:val="nil"/>
              <w:bottom w:val="nil"/>
              <w:right w:val="nil"/>
            </w:tcBorders>
          </w:tcPr>
          <w:p w:rsidR="00CD4514" w:rsidRPr="00A74D0D" w:rsidRDefault="00CD4514" w:rsidP="00477F96">
            <w:pPr>
              <w:tabs>
                <w:tab w:val="right" w:pos="4427"/>
              </w:tabs>
              <w:rPr>
                <w:rFonts w:ascii="Arial" w:hAnsi="Arial" w:cs="Arial"/>
                <w:b/>
                <w:bCs/>
                <w:sz w:val="18"/>
                <w:szCs w:val="18"/>
              </w:rPr>
            </w:pPr>
            <w:r w:rsidRPr="00A74D0D">
              <w:rPr>
                <w:rFonts w:ascii="Arial" w:hAnsi="Arial" w:cs="Arial"/>
                <w:b/>
                <w:bCs/>
                <w:sz w:val="18"/>
                <w:szCs w:val="18"/>
              </w:rPr>
              <w:t>Industry</w:t>
            </w:r>
            <w:r w:rsidRPr="00A74D0D">
              <w:rPr>
                <w:rFonts w:ascii="Arial" w:hAnsi="Arial" w:cs="Arial"/>
                <w:b/>
                <w:bCs/>
                <w:sz w:val="18"/>
                <w:szCs w:val="18"/>
              </w:rPr>
              <w:tab/>
            </w:r>
          </w:p>
        </w:tc>
        <w:tc>
          <w:tcPr>
            <w:tcW w:w="5918" w:type="dxa"/>
            <w:tcBorders>
              <w:top w:val="nil"/>
              <w:left w:val="nil"/>
              <w:bottom w:val="nil"/>
              <w:right w:val="nil"/>
            </w:tcBorders>
            <w:vAlign w:val="center"/>
          </w:tcPr>
          <w:p w:rsidR="00CD4514" w:rsidRPr="00A74D0D" w:rsidRDefault="00CD4514" w:rsidP="00477F96">
            <w:pPr>
              <w:jc w:val="both"/>
              <w:rPr>
                <w:rFonts w:ascii="Arial" w:hAnsi="Arial" w:cs="Arial"/>
                <w:sz w:val="18"/>
                <w:szCs w:val="18"/>
              </w:rPr>
            </w:pPr>
            <w:r w:rsidRPr="00A74D0D">
              <w:rPr>
                <w:rFonts w:ascii="Arial" w:hAnsi="Arial" w:cs="Arial"/>
                <w:sz w:val="18"/>
                <w:szCs w:val="18"/>
              </w:rPr>
              <w:t>Mining and quarrying, manufacturing, electricity, gas, steam and air conditioning supply, water supply; sewerage, waste management and remediation activities</w:t>
            </w:r>
          </w:p>
        </w:tc>
      </w:tr>
      <w:tr w:rsidR="00CD4514" w:rsidRPr="00A74D0D" w:rsidTr="00B24670">
        <w:trPr>
          <w:trHeight w:val="340"/>
          <w:jc w:val="center"/>
        </w:trPr>
        <w:tc>
          <w:tcPr>
            <w:tcW w:w="3369" w:type="dxa"/>
            <w:tcBorders>
              <w:top w:val="nil"/>
              <w:left w:val="nil"/>
              <w:bottom w:val="nil"/>
              <w:right w:val="nil"/>
            </w:tcBorders>
            <w:vAlign w:val="center"/>
          </w:tcPr>
          <w:p w:rsidR="00CD4514" w:rsidRPr="00A74D0D" w:rsidRDefault="00CD4514" w:rsidP="00477F96">
            <w:pPr>
              <w:rPr>
                <w:rFonts w:ascii="Arial" w:hAnsi="Arial" w:cs="Arial"/>
                <w:b/>
                <w:bCs/>
                <w:sz w:val="18"/>
                <w:szCs w:val="18"/>
              </w:rPr>
            </w:pPr>
            <w:r w:rsidRPr="00A74D0D">
              <w:rPr>
                <w:rFonts w:ascii="Arial" w:hAnsi="Arial" w:cs="Arial"/>
                <w:b/>
                <w:bCs/>
                <w:sz w:val="18"/>
                <w:szCs w:val="18"/>
              </w:rPr>
              <w:t>Construction</w:t>
            </w:r>
          </w:p>
        </w:tc>
        <w:tc>
          <w:tcPr>
            <w:tcW w:w="5918" w:type="dxa"/>
            <w:tcBorders>
              <w:top w:val="nil"/>
              <w:left w:val="nil"/>
              <w:bottom w:val="nil"/>
              <w:right w:val="nil"/>
            </w:tcBorders>
            <w:vAlign w:val="center"/>
          </w:tcPr>
          <w:p w:rsidR="00CD4514" w:rsidRPr="00A74D0D" w:rsidRDefault="00CD4514" w:rsidP="00477F96">
            <w:pPr>
              <w:jc w:val="both"/>
              <w:rPr>
                <w:rFonts w:ascii="Arial" w:hAnsi="Arial" w:cs="Arial"/>
                <w:sz w:val="18"/>
                <w:szCs w:val="18"/>
              </w:rPr>
            </w:pPr>
            <w:r w:rsidRPr="00A74D0D">
              <w:rPr>
                <w:rFonts w:ascii="Arial" w:hAnsi="Arial" w:cs="Arial"/>
                <w:sz w:val="18"/>
                <w:szCs w:val="18"/>
              </w:rPr>
              <w:t>Construction</w:t>
            </w:r>
          </w:p>
        </w:tc>
      </w:tr>
      <w:tr w:rsidR="00CD4514" w:rsidRPr="00A74D0D" w:rsidTr="00B24670">
        <w:trPr>
          <w:trHeight w:val="340"/>
          <w:jc w:val="center"/>
        </w:trPr>
        <w:tc>
          <w:tcPr>
            <w:tcW w:w="3369" w:type="dxa"/>
            <w:tcBorders>
              <w:top w:val="nil"/>
              <w:left w:val="nil"/>
              <w:bottom w:val="nil"/>
              <w:right w:val="nil"/>
            </w:tcBorders>
            <w:vAlign w:val="center"/>
          </w:tcPr>
          <w:p w:rsidR="00CD4514" w:rsidRPr="00A74D0D" w:rsidRDefault="00CD4514" w:rsidP="00477F96">
            <w:pPr>
              <w:rPr>
                <w:rFonts w:ascii="Arial" w:hAnsi="Arial" w:cs="Arial"/>
                <w:b/>
                <w:bCs/>
                <w:sz w:val="18"/>
                <w:szCs w:val="18"/>
              </w:rPr>
            </w:pPr>
            <w:r w:rsidRPr="00A74D0D">
              <w:rPr>
                <w:rFonts w:ascii="Arial" w:hAnsi="Arial" w:cs="Arial"/>
                <w:b/>
                <w:bCs/>
                <w:sz w:val="18"/>
                <w:szCs w:val="18"/>
              </w:rPr>
              <w:t>Wholesale and retail trade</w:t>
            </w:r>
          </w:p>
        </w:tc>
        <w:tc>
          <w:tcPr>
            <w:tcW w:w="5918" w:type="dxa"/>
            <w:tcBorders>
              <w:top w:val="nil"/>
              <w:left w:val="nil"/>
              <w:bottom w:val="nil"/>
              <w:right w:val="nil"/>
            </w:tcBorders>
            <w:vAlign w:val="center"/>
          </w:tcPr>
          <w:p w:rsidR="00CD4514" w:rsidRPr="00A74D0D" w:rsidRDefault="00CD4514" w:rsidP="00477F96">
            <w:pPr>
              <w:jc w:val="both"/>
              <w:rPr>
                <w:rFonts w:ascii="Arial" w:hAnsi="Arial" w:cs="Arial"/>
                <w:sz w:val="18"/>
                <w:szCs w:val="18"/>
              </w:rPr>
            </w:pPr>
            <w:r w:rsidRPr="00A74D0D">
              <w:rPr>
                <w:rFonts w:ascii="Arial" w:hAnsi="Arial" w:cs="Arial"/>
                <w:sz w:val="18"/>
                <w:szCs w:val="18"/>
              </w:rPr>
              <w:t>Wholesale and retail trade; repair of motor vehicles and motorcycles</w:t>
            </w:r>
          </w:p>
        </w:tc>
      </w:tr>
      <w:tr w:rsidR="00CD4514" w:rsidRPr="00A74D0D" w:rsidTr="00B24670">
        <w:trPr>
          <w:trHeight w:val="340"/>
          <w:jc w:val="center"/>
        </w:trPr>
        <w:tc>
          <w:tcPr>
            <w:tcW w:w="3369" w:type="dxa"/>
            <w:tcBorders>
              <w:top w:val="nil"/>
              <w:left w:val="nil"/>
              <w:bottom w:val="nil"/>
              <w:right w:val="nil"/>
            </w:tcBorders>
            <w:vAlign w:val="center"/>
          </w:tcPr>
          <w:p w:rsidR="00CD4514" w:rsidRPr="00A74D0D" w:rsidRDefault="00CD4514" w:rsidP="00477F96">
            <w:pPr>
              <w:rPr>
                <w:rFonts w:ascii="Arial" w:hAnsi="Arial" w:cs="Arial"/>
                <w:b/>
                <w:bCs/>
                <w:sz w:val="18"/>
                <w:szCs w:val="18"/>
              </w:rPr>
            </w:pPr>
            <w:r w:rsidRPr="00A74D0D">
              <w:rPr>
                <w:rFonts w:ascii="Arial" w:hAnsi="Arial" w:cs="Arial"/>
                <w:b/>
                <w:bCs/>
                <w:sz w:val="18"/>
                <w:szCs w:val="18"/>
              </w:rPr>
              <w:t>Transportation and storage</w:t>
            </w:r>
          </w:p>
        </w:tc>
        <w:tc>
          <w:tcPr>
            <w:tcW w:w="5918" w:type="dxa"/>
            <w:tcBorders>
              <w:top w:val="nil"/>
              <w:left w:val="nil"/>
              <w:bottom w:val="nil"/>
              <w:right w:val="nil"/>
            </w:tcBorders>
            <w:vAlign w:val="center"/>
          </w:tcPr>
          <w:p w:rsidR="00CD4514" w:rsidRPr="00A74D0D" w:rsidRDefault="00CD4514" w:rsidP="00477F96">
            <w:pPr>
              <w:jc w:val="both"/>
              <w:rPr>
                <w:rFonts w:ascii="Arial" w:hAnsi="Arial" w:cs="Arial"/>
                <w:sz w:val="18"/>
                <w:szCs w:val="18"/>
              </w:rPr>
            </w:pPr>
            <w:r w:rsidRPr="00A74D0D">
              <w:rPr>
                <w:rFonts w:ascii="Arial" w:hAnsi="Arial" w:cs="Arial"/>
                <w:sz w:val="18"/>
                <w:szCs w:val="18"/>
              </w:rPr>
              <w:t>Transportation and storage</w:t>
            </w:r>
          </w:p>
        </w:tc>
      </w:tr>
      <w:tr w:rsidR="00CD4514" w:rsidRPr="00A74D0D" w:rsidTr="00B24670">
        <w:trPr>
          <w:trHeight w:val="340"/>
          <w:jc w:val="center"/>
        </w:trPr>
        <w:tc>
          <w:tcPr>
            <w:tcW w:w="3369" w:type="dxa"/>
            <w:tcBorders>
              <w:top w:val="nil"/>
              <w:left w:val="nil"/>
              <w:bottom w:val="nil"/>
              <w:right w:val="nil"/>
            </w:tcBorders>
            <w:vAlign w:val="center"/>
          </w:tcPr>
          <w:p w:rsidR="00CD4514" w:rsidRPr="00A74D0D" w:rsidRDefault="00CD4514" w:rsidP="00477F96">
            <w:pPr>
              <w:rPr>
                <w:rFonts w:ascii="Arial" w:hAnsi="Arial" w:cs="Arial"/>
                <w:b/>
                <w:bCs/>
                <w:sz w:val="18"/>
                <w:szCs w:val="18"/>
              </w:rPr>
            </w:pPr>
            <w:r w:rsidRPr="00A74D0D">
              <w:rPr>
                <w:rFonts w:ascii="Arial" w:hAnsi="Arial" w:cs="Arial"/>
                <w:b/>
                <w:bCs/>
                <w:sz w:val="18"/>
                <w:szCs w:val="18"/>
              </w:rPr>
              <w:t>Information and communications</w:t>
            </w:r>
          </w:p>
        </w:tc>
        <w:tc>
          <w:tcPr>
            <w:tcW w:w="5918" w:type="dxa"/>
            <w:tcBorders>
              <w:top w:val="nil"/>
              <w:left w:val="nil"/>
              <w:bottom w:val="nil"/>
              <w:right w:val="nil"/>
            </w:tcBorders>
            <w:vAlign w:val="center"/>
          </w:tcPr>
          <w:p w:rsidR="00CD4514" w:rsidRPr="00A74D0D" w:rsidRDefault="00CD4514" w:rsidP="00477F96">
            <w:pPr>
              <w:jc w:val="both"/>
              <w:rPr>
                <w:rFonts w:ascii="Arial" w:hAnsi="Arial" w:cs="Arial"/>
                <w:sz w:val="18"/>
                <w:szCs w:val="18"/>
              </w:rPr>
            </w:pPr>
            <w:r w:rsidRPr="00A74D0D">
              <w:rPr>
                <w:rFonts w:ascii="Arial" w:hAnsi="Arial" w:cs="Arial"/>
                <w:sz w:val="18"/>
                <w:szCs w:val="18"/>
              </w:rPr>
              <w:t>Information and communication</w:t>
            </w:r>
          </w:p>
        </w:tc>
      </w:tr>
      <w:tr w:rsidR="00CD4514" w:rsidRPr="00A74D0D" w:rsidTr="00B24670">
        <w:trPr>
          <w:trHeight w:val="340"/>
          <w:jc w:val="center"/>
        </w:trPr>
        <w:tc>
          <w:tcPr>
            <w:tcW w:w="3369" w:type="dxa"/>
            <w:tcBorders>
              <w:top w:val="nil"/>
              <w:left w:val="nil"/>
              <w:bottom w:val="dashSmallGap" w:sz="4" w:space="0" w:color="auto"/>
              <w:right w:val="nil"/>
            </w:tcBorders>
          </w:tcPr>
          <w:p w:rsidR="00CD4514" w:rsidRPr="00A74D0D" w:rsidRDefault="00CD4514" w:rsidP="00477F96">
            <w:pPr>
              <w:rPr>
                <w:rFonts w:ascii="Arial" w:hAnsi="Arial" w:cs="Arial"/>
                <w:b/>
                <w:bCs/>
                <w:sz w:val="18"/>
                <w:szCs w:val="18"/>
              </w:rPr>
            </w:pPr>
            <w:r w:rsidRPr="00A74D0D">
              <w:rPr>
                <w:rFonts w:ascii="Arial" w:hAnsi="Arial" w:cs="Arial"/>
                <w:b/>
                <w:bCs/>
                <w:sz w:val="18"/>
                <w:szCs w:val="18"/>
              </w:rPr>
              <w:t>Services and other branches</w:t>
            </w:r>
          </w:p>
        </w:tc>
        <w:tc>
          <w:tcPr>
            <w:tcW w:w="5918" w:type="dxa"/>
            <w:tcBorders>
              <w:top w:val="nil"/>
              <w:left w:val="nil"/>
              <w:bottom w:val="dashSmallGap" w:sz="4" w:space="0" w:color="auto"/>
              <w:right w:val="nil"/>
            </w:tcBorders>
            <w:vAlign w:val="center"/>
          </w:tcPr>
          <w:p w:rsidR="00CD4514" w:rsidRPr="00A74D0D" w:rsidRDefault="00CD4514" w:rsidP="00477F96">
            <w:pPr>
              <w:jc w:val="both"/>
              <w:rPr>
                <w:rFonts w:ascii="Arial" w:hAnsi="Arial" w:cs="Arial"/>
                <w:sz w:val="18"/>
                <w:szCs w:val="18"/>
              </w:rPr>
            </w:pPr>
            <w:r w:rsidRPr="00A74D0D">
              <w:rPr>
                <w:rFonts w:ascii="Arial" w:hAnsi="Arial" w:cs="Arial"/>
                <w:sz w:val="18"/>
                <w:szCs w:val="18"/>
              </w:rPr>
              <w:t xml:space="preserve">Financial and insurance activities, accommodation and food service activities, real estate activities, professional, scientific and technical activities, administrative and support service activities, public administration and </w:t>
            </w:r>
            <w:proofErr w:type="spellStart"/>
            <w:r w:rsidRPr="00A74D0D">
              <w:rPr>
                <w:rFonts w:ascii="Arial" w:hAnsi="Arial" w:cs="Arial"/>
                <w:sz w:val="18"/>
                <w:szCs w:val="18"/>
              </w:rPr>
              <w:t>defense</w:t>
            </w:r>
            <w:proofErr w:type="spellEnd"/>
            <w:r w:rsidRPr="00A74D0D">
              <w:rPr>
                <w:rFonts w:ascii="Arial" w:hAnsi="Arial" w:cs="Arial"/>
                <w:sz w:val="18"/>
                <w:szCs w:val="18"/>
              </w:rPr>
              <w:t>, education, human health and social work activities, arts, entertainment and recreation, other service activities, activities of households as employers; undifferentiated goods- and services-producing activities of households for own use.</w:t>
            </w:r>
          </w:p>
        </w:tc>
      </w:tr>
      <w:tr w:rsidR="00CD4514" w:rsidRPr="00A74D0D" w:rsidTr="00B24670">
        <w:trPr>
          <w:trHeight w:val="340"/>
          <w:jc w:val="center"/>
        </w:trPr>
        <w:tc>
          <w:tcPr>
            <w:tcW w:w="3369" w:type="dxa"/>
            <w:tcBorders>
              <w:top w:val="dashSmallGap" w:sz="4" w:space="0" w:color="auto"/>
              <w:left w:val="nil"/>
              <w:bottom w:val="single" w:sz="12" w:space="0" w:color="auto"/>
              <w:right w:val="nil"/>
            </w:tcBorders>
          </w:tcPr>
          <w:p w:rsidR="00CD4514" w:rsidRPr="00A74D0D" w:rsidRDefault="00CD4514" w:rsidP="00477F96">
            <w:pPr>
              <w:rPr>
                <w:rFonts w:ascii="Arial" w:hAnsi="Arial" w:cs="Arial"/>
                <w:b/>
                <w:bCs/>
                <w:sz w:val="18"/>
                <w:szCs w:val="18"/>
              </w:rPr>
            </w:pPr>
            <w:r w:rsidRPr="00A74D0D">
              <w:rPr>
                <w:rFonts w:ascii="Arial" w:hAnsi="Arial" w:cs="Arial"/>
                <w:b/>
                <w:bCs/>
                <w:sz w:val="18"/>
                <w:szCs w:val="18"/>
              </w:rPr>
              <w:t>Adjustment Items</w:t>
            </w:r>
          </w:p>
        </w:tc>
        <w:tc>
          <w:tcPr>
            <w:tcW w:w="5918" w:type="dxa"/>
            <w:tcBorders>
              <w:top w:val="dashSmallGap" w:sz="4" w:space="0" w:color="auto"/>
              <w:left w:val="nil"/>
              <w:bottom w:val="single" w:sz="12" w:space="0" w:color="auto"/>
              <w:right w:val="nil"/>
            </w:tcBorders>
            <w:vAlign w:val="center"/>
          </w:tcPr>
          <w:p w:rsidR="00CD4514" w:rsidRPr="00A74D0D" w:rsidRDefault="00CD4514" w:rsidP="00477F96">
            <w:pPr>
              <w:jc w:val="both"/>
              <w:rPr>
                <w:rFonts w:ascii="Arial" w:hAnsi="Arial" w:cs="Arial"/>
                <w:sz w:val="18"/>
                <w:szCs w:val="18"/>
              </w:rPr>
            </w:pPr>
            <w:r w:rsidRPr="00A74D0D">
              <w:rPr>
                <w:rFonts w:ascii="Arial" w:hAnsi="Arial" w:cs="Arial"/>
                <w:sz w:val="18"/>
                <w:szCs w:val="18"/>
              </w:rPr>
              <w:t>Financial Intermediation Services Indirect Measurement (FISIM), Customs Duties, VAT on Imports, net.</w:t>
            </w:r>
          </w:p>
        </w:tc>
      </w:tr>
    </w:tbl>
    <w:p w:rsidR="00CD4514" w:rsidRPr="00477F96" w:rsidRDefault="00CD4514" w:rsidP="00477F96">
      <w:pPr>
        <w:spacing w:after="0" w:line="240" w:lineRule="auto"/>
        <w:jc w:val="center"/>
        <w:rPr>
          <w:rFonts w:ascii="Times New Roman" w:hAnsi="Times New Roman" w:cs="Times New Roman"/>
        </w:rPr>
      </w:pPr>
    </w:p>
    <w:sectPr w:rsidR="00CD4514" w:rsidRPr="00477F96" w:rsidSect="008604EB">
      <w:type w:val="continuous"/>
      <w:pgSz w:w="11906" w:h="16838" w:code="9"/>
      <w:pgMar w:top="1418" w:right="1418" w:bottom="1418" w:left="1418"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E46" w:rsidRDefault="00376E46" w:rsidP="00CD4514">
      <w:pPr>
        <w:spacing w:after="0" w:line="240" w:lineRule="auto"/>
      </w:pPr>
      <w:r>
        <w:separator/>
      </w:r>
    </w:p>
  </w:endnote>
  <w:endnote w:type="continuationSeparator" w:id="0">
    <w:p w:rsidR="00376E46" w:rsidRDefault="00376E46" w:rsidP="00CD45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348330"/>
      <w:docPartObj>
        <w:docPartGallery w:val="Page Numbers (Bottom of Page)"/>
        <w:docPartUnique/>
      </w:docPartObj>
    </w:sdtPr>
    <w:sdtContent>
      <w:p w:rsidR="00D97CA4" w:rsidRDefault="0069364B">
        <w:pPr>
          <w:pStyle w:val="Footer"/>
          <w:jc w:val="center"/>
        </w:pPr>
        <w:r w:rsidRPr="00477F96">
          <w:rPr>
            <w:rFonts w:ascii="Times New Roman" w:hAnsi="Times New Roman" w:cs="Times New Roman"/>
            <w:sz w:val="24"/>
            <w:szCs w:val="24"/>
          </w:rPr>
          <w:fldChar w:fldCharType="begin"/>
        </w:r>
        <w:r w:rsidR="00D97CA4" w:rsidRPr="00477F96">
          <w:rPr>
            <w:rFonts w:ascii="Times New Roman" w:hAnsi="Times New Roman" w:cs="Times New Roman"/>
            <w:sz w:val="24"/>
            <w:szCs w:val="24"/>
          </w:rPr>
          <w:instrText xml:space="preserve"> PAGE   \* MERGEFORMAT </w:instrText>
        </w:r>
        <w:r w:rsidRPr="00477F96">
          <w:rPr>
            <w:rFonts w:ascii="Times New Roman" w:hAnsi="Times New Roman" w:cs="Times New Roman"/>
            <w:sz w:val="24"/>
            <w:szCs w:val="24"/>
          </w:rPr>
          <w:fldChar w:fldCharType="separate"/>
        </w:r>
        <w:r w:rsidR="00883E2C">
          <w:rPr>
            <w:rFonts w:ascii="Times New Roman" w:hAnsi="Times New Roman" w:cs="Times New Roman"/>
            <w:noProof/>
            <w:sz w:val="24"/>
            <w:szCs w:val="24"/>
          </w:rPr>
          <w:t>46</w:t>
        </w:r>
        <w:r w:rsidRPr="00477F96">
          <w:rPr>
            <w:rFonts w:ascii="Times New Roman" w:hAnsi="Times New Roman" w:cs="Times New Roman"/>
            <w:sz w:val="24"/>
            <w:szCs w:val="24"/>
          </w:rPr>
          <w:fldChar w:fldCharType="end"/>
        </w:r>
      </w:p>
    </w:sdtContent>
  </w:sdt>
  <w:p w:rsidR="00D97CA4" w:rsidRDefault="00D97CA4" w:rsidP="00477F96">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E46" w:rsidRDefault="00376E46" w:rsidP="00CD4514">
      <w:pPr>
        <w:spacing w:after="0" w:line="240" w:lineRule="auto"/>
      </w:pPr>
      <w:r>
        <w:separator/>
      </w:r>
    </w:p>
  </w:footnote>
  <w:footnote w:type="continuationSeparator" w:id="0">
    <w:p w:rsidR="00376E46" w:rsidRDefault="00376E46" w:rsidP="00CD4514">
      <w:pPr>
        <w:spacing w:after="0" w:line="240" w:lineRule="auto"/>
      </w:pPr>
      <w:r>
        <w:continuationSeparator/>
      </w:r>
    </w:p>
  </w:footnote>
  <w:footnote w:id="1">
    <w:p w:rsidR="00D97CA4" w:rsidRPr="0086522D" w:rsidRDefault="00D97CA4" w:rsidP="00CD4514">
      <w:pPr>
        <w:jc w:val="both"/>
        <w:rPr>
          <w:rFonts w:ascii="Times New Roman" w:hAnsi="Times New Roman" w:cs="Times New Roman"/>
          <w:sz w:val="18"/>
          <w:szCs w:val="18"/>
        </w:rPr>
      </w:pPr>
      <w:r w:rsidRPr="0086522D">
        <w:rPr>
          <w:rStyle w:val="FootnoteReference"/>
          <w:rFonts w:ascii="Times New Roman" w:hAnsi="Times New Roman" w:cs="Times New Roman"/>
          <w:sz w:val="18"/>
          <w:szCs w:val="18"/>
        </w:rPr>
        <w:footnoteRef/>
      </w:r>
      <w:r w:rsidRPr="0086522D">
        <w:rPr>
          <w:rFonts w:ascii="Times New Roman" w:eastAsia="Times New Roman" w:hAnsi="Times New Roman" w:cs="Times New Roman"/>
          <w:noProof/>
          <w:sz w:val="18"/>
          <w:szCs w:val="18"/>
        </w:rPr>
        <w:t xml:space="preserve">The data excluded those parts of Jerusalem which were annexed by Israeli occupation in 1967, and the data for GDP and its components for 2017, 2018 are preliminary based on quarterly estimates and will be revised; there are some minor differences in the values of variables due to the convergence of standard treatment processes on the computer.  It should be noted that the base year of the National Accounts data has been updated to 2015 instead of 2004 by calculating the percentage change by region for the years prior to 2015 as 2015 is the reference year. The total gross domestic product (GDP) components for both sides production and expenditure are not equal, due to non additivity. The per capita data were revised based on population estimates mid-year based on the Population, Housing and Establishments Census 2017. </w:t>
      </w:r>
    </w:p>
    <w:p w:rsidR="00D97CA4" w:rsidRDefault="00D97CA4" w:rsidP="00CD4514">
      <w:pPr>
        <w:pStyle w:val="FootnoteText"/>
        <w:jc w:val="both"/>
      </w:pPr>
    </w:p>
  </w:footnote>
  <w:footnote w:id="2">
    <w:p w:rsidR="00D97CA4" w:rsidRPr="001B029C" w:rsidRDefault="00D97CA4" w:rsidP="00CD4514">
      <w:pPr>
        <w:pStyle w:val="FootnoteText"/>
        <w:jc w:val="both"/>
        <w:rPr>
          <w:rFonts w:ascii="Times New Roman" w:hAnsi="Times New Roman" w:cs="Times New Roman"/>
          <w:sz w:val="18"/>
          <w:szCs w:val="18"/>
        </w:rPr>
      </w:pPr>
      <w:r w:rsidRPr="001B029C">
        <w:rPr>
          <w:rStyle w:val="FootnoteReference"/>
          <w:rFonts w:ascii="Times New Roman" w:hAnsi="Times New Roman" w:cs="Times New Roman"/>
          <w:sz w:val="18"/>
          <w:szCs w:val="18"/>
        </w:rPr>
        <w:footnoteRef/>
      </w:r>
      <w:r w:rsidRPr="001B029C">
        <w:rPr>
          <w:rFonts w:ascii="Times New Roman" w:hAnsi="Times New Roman" w:cs="Times New Roman"/>
          <w:sz w:val="18"/>
          <w:szCs w:val="18"/>
        </w:rPr>
        <w:t xml:space="preserve"> </w:t>
      </w:r>
      <w:r>
        <w:rPr>
          <w:rFonts w:ascii="Times New Roman" w:eastAsia="Times New Roman" w:hAnsi="Times New Roman" w:cs="Times New Roman"/>
          <w:noProof/>
          <w:sz w:val="18"/>
          <w:szCs w:val="18"/>
        </w:rPr>
        <w:t>The data excluded</w:t>
      </w:r>
      <w:r w:rsidRPr="001B029C">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 xml:space="preserve">those </w:t>
      </w:r>
      <w:r w:rsidRPr="001B029C">
        <w:rPr>
          <w:rFonts w:ascii="Times New Roman" w:eastAsia="Times New Roman" w:hAnsi="Times New Roman" w:cs="Times New Roman"/>
          <w:noProof/>
          <w:sz w:val="18"/>
          <w:szCs w:val="18"/>
        </w:rPr>
        <w:t xml:space="preserve"> part</w:t>
      </w:r>
      <w:r>
        <w:rPr>
          <w:rFonts w:ascii="Times New Roman" w:eastAsia="Times New Roman" w:hAnsi="Times New Roman" w:cs="Times New Roman"/>
          <w:noProof/>
          <w:sz w:val="18"/>
          <w:szCs w:val="18"/>
        </w:rPr>
        <w:t>s</w:t>
      </w:r>
      <w:r w:rsidRPr="001B029C">
        <w:rPr>
          <w:rFonts w:ascii="Times New Roman" w:eastAsia="Times New Roman" w:hAnsi="Times New Roman" w:cs="Times New Roman"/>
          <w:noProof/>
          <w:sz w:val="18"/>
          <w:szCs w:val="18"/>
        </w:rPr>
        <w:t xml:space="preserve"> of Jerusalem which </w:t>
      </w:r>
      <w:r>
        <w:rPr>
          <w:rFonts w:ascii="Times New Roman" w:eastAsia="Times New Roman" w:hAnsi="Times New Roman" w:cs="Times New Roman"/>
          <w:noProof/>
          <w:sz w:val="18"/>
          <w:szCs w:val="18"/>
        </w:rPr>
        <w:t>were</w:t>
      </w:r>
      <w:r w:rsidRPr="001B029C">
        <w:rPr>
          <w:rFonts w:ascii="Times New Roman" w:eastAsia="Times New Roman" w:hAnsi="Times New Roman" w:cs="Times New Roman"/>
          <w:noProof/>
          <w:sz w:val="18"/>
          <w:szCs w:val="18"/>
        </w:rPr>
        <w:t xml:space="preserve"> annexed by Israel</w:t>
      </w:r>
      <w:r>
        <w:rPr>
          <w:rFonts w:ascii="Times New Roman" w:eastAsia="Times New Roman" w:hAnsi="Times New Roman" w:cs="Times New Roman"/>
          <w:noProof/>
          <w:sz w:val="18"/>
          <w:szCs w:val="18"/>
        </w:rPr>
        <w:t>i</w:t>
      </w:r>
      <w:r w:rsidRPr="001B029C">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O</w:t>
      </w:r>
      <w:r w:rsidRPr="001B029C">
        <w:rPr>
          <w:rFonts w:ascii="Times New Roman" w:eastAsia="Times New Roman" w:hAnsi="Times New Roman" w:cs="Times New Roman"/>
          <w:noProof/>
          <w:sz w:val="18"/>
          <w:szCs w:val="18"/>
        </w:rPr>
        <w:t>ccupation in 1967</w:t>
      </w:r>
      <w:r w:rsidRPr="001B029C">
        <w:rPr>
          <w:rFonts w:ascii="Times New Roman" w:hAnsi="Times New Roman" w:cs="Times New Roman"/>
          <w:sz w:val="18"/>
          <w:szCs w:val="18"/>
        </w:rPr>
        <w:t>.</w:t>
      </w:r>
    </w:p>
  </w:footnote>
  <w:footnote w:id="3">
    <w:p w:rsidR="00D97CA4" w:rsidRPr="002F7A76" w:rsidRDefault="00D97CA4" w:rsidP="00CD4514">
      <w:pPr>
        <w:pStyle w:val="FootnoteText"/>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Pr>
          <w:rFonts w:ascii="Times New Roman" w:hAnsi="Times New Roman" w:cs="Times New Roman"/>
          <w:sz w:val="18"/>
          <w:szCs w:val="18"/>
        </w:rPr>
        <w:t>I</w:t>
      </w:r>
      <w:r w:rsidRPr="002F7A76">
        <w:rPr>
          <w:rFonts w:ascii="Times New Roman" w:hAnsi="Times New Roman" w:cs="Times New Roman"/>
          <w:sz w:val="18"/>
          <w:szCs w:val="18"/>
        </w:rPr>
        <w:t>ncluding government employees</w:t>
      </w:r>
    </w:p>
  </w:footnote>
  <w:footnote w:id="4">
    <w:p w:rsidR="00D97CA4" w:rsidRPr="00EF3908" w:rsidRDefault="00D97CA4" w:rsidP="00CD4514">
      <w:pPr>
        <w:pStyle w:val="FootnoteText"/>
        <w:rPr>
          <w:rFonts w:ascii="Times New Roman" w:hAnsi="Times New Roman" w:cs="Times New Roman"/>
          <w:sz w:val="18"/>
          <w:szCs w:val="18"/>
        </w:rPr>
      </w:pPr>
      <w:r w:rsidRPr="00EF3908">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J1: Those parts</w:t>
      </w:r>
      <w:r w:rsidRPr="00EF3908">
        <w:rPr>
          <w:rFonts w:ascii="Times New Roman" w:hAnsi="Times New Roman" w:cs="Times New Roman"/>
          <w:sz w:val="18"/>
          <w:szCs w:val="18"/>
        </w:rPr>
        <w:t xml:space="preserve"> of Jerusalem which </w:t>
      </w:r>
      <w:r>
        <w:rPr>
          <w:rFonts w:ascii="Times New Roman" w:hAnsi="Times New Roman" w:cs="Times New Roman"/>
          <w:sz w:val="18"/>
          <w:szCs w:val="18"/>
        </w:rPr>
        <w:t>were</w:t>
      </w:r>
      <w:r w:rsidRPr="00EF3908">
        <w:rPr>
          <w:rFonts w:ascii="Times New Roman" w:hAnsi="Times New Roman" w:cs="Times New Roman"/>
          <w:sz w:val="18"/>
          <w:szCs w:val="18"/>
        </w:rPr>
        <w:t xml:space="preserve"> annexed by Israel</w:t>
      </w:r>
      <w:r>
        <w:rPr>
          <w:rFonts w:ascii="Times New Roman" w:hAnsi="Times New Roman" w:cs="Times New Roman"/>
          <w:sz w:val="18"/>
          <w:szCs w:val="18"/>
        </w:rPr>
        <w:t>i</w:t>
      </w:r>
      <w:r w:rsidRPr="00EF3908">
        <w:rPr>
          <w:rFonts w:ascii="Times New Roman" w:hAnsi="Times New Roman" w:cs="Times New Roman"/>
          <w:sz w:val="18"/>
          <w:szCs w:val="18"/>
        </w:rPr>
        <w:t xml:space="preserve"> </w:t>
      </w:r>
      <w:r>
        <w:rPr>
          <w:rFonts w:ascii="Times New Roman" w:hAnsi="Times New Roman" w:cs="Times New Roman"/>
          <w:sz w:val="18"/>
          <w:szCs w:val="18"/>
        </w:rPr>
        <w:t>O</w:t>
      </w:r>
      <w:r w:rsidRPr="00EF3908">
        <w:rPr>
          <w:rFonts w:ascii="Times New Roman" w:hAnsi="Times New Roman" w:cs="Times New Roman"/>
          <w:sz w:val="18"/>
          <w:szCs w:val="18"/>
        </w:rPr>
        <w:t>ccupation in 1967</w:t>
      </w:r>
      <w:r w:rsidRPr="00EF3908">
        <w:rPr>
          <w:rFonts w:ascii="Times New Roman" w:eastAsia="Times New Roman" w:hAnsi="Times New Roman" w:cs="Times New Roman"/>
          <w:noProof/>
          <w:sz w:val="18"/>
          <w:szCs w:val="18"/>
        </w:rPr>
        <w:t>.</w:t>
      </w:r>
    </w:p>
  </w:footnote>
  <w:footnote w:id="5">
    <w:p w:rsidR="00D97CA4" w:rsidRPr="00EF3908" w:rsidRDefault="00D97CA4" w:rsidP="00CD4514">
      <w:pPr>
        <w:pStyle w:val="FootnoteText"/>
        <w:rPr>
          <w:rFonts w:ascii="Times New Roman" w:hAnsi="Times New Roman" w:cs="Times New Roman"/>
          <w:sz w:val="18"/>
          <w:szCs w:val="18"/>
        </w:rPr>
      </w:pPr>
      <w:r w:rsidRPr="00EF3908">
        <w:rPr>
          <w:rStyle w:val="FootnoteReference"/>
          <w:rFonts w:ascii="Times New Roman" w:hAnsi="Times New Roman" w:cs="Times New Roman"/>
          <w:sz w:val="18"/>
          <w:szCs w:val="18"/>
        </w:rPr>
        <w:footnoteRef/>
      </w:r>
      <w:r>
        <w:rPr>
          <w:rFonts w:ascii="Times New Roman" w:eastAsia="Times New Roman" w:hAnsi="Times New Roman" w:cs="Times New Roman"/>
          <w:noProof/>
          <w:sz w:val="18"/>
          <w:szCs w:val="18"/>
        </w:rPr>
        <w:t xml:space="preserve"> The data excluded those parts</w:t>
      </w:r>
      <w:r w:rsidRPr="00EF3908">
        <w:rPr>
          <w:rFonts w:ascii="Times New Roman" w:eastAsia="Times New Roman" w:hAnsi="Times New Roman" w:cs="Times New Roman"/>
          <w:noProof/>
          <w:sz w:val="18"/>
          <w:szCs w:val="18"/>
        </w:rPr>
        <w:t xml:space="preserve"> of Jerusalem which </w:t>
      </w:r>
      <w:r>
        <w:rPr>
          <w:rFonts w:ascii="Times New Roman" w:eastAsia="Times New Roman" w:hAnsi="Times New Roman" w:cs="Times New Roman"/>
          <w:noProof/>
          <w:sz w:val="18"/>
          <w:szCs w:val="18"/>
        </w:rPr>
        <w:t xml:space="preserve">were </w:t>
      </w:r>
      <w:r w:rsidRPr="00EF3908">
        <w:rPr>
          <w:rFonts w:ascii="Times New Roman" w:eastAsia="Times New Roman" w:hAnsi="Times New Roman" w:cs="Times New Roman"/>
          <w:noProof/>
          <w:sz w:val="18"/>
          <w:szCs w:val="18"/>
        </w:rPr>
        <w:t>annexed by Israel</w:t>
      </w:r>
      <w:r>
        <w:rPr>
          <w:rFonts w:ascii="Times New Roman" w:eastAsia="Times New Roman" w:hAnsi="Times New Roman" w:cs="Times New Roman"/>
          <w:noProof/>
          <w:sz w:val="18"/>
          <w:szCs w:val="18"/>
        </w:rPr>
        <w:t>i</w:t>
      </w:r>
      <w:r w:rsidRPr="00EF3908">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o</w:t>
      </w:r>
      <w:r w:rsidRPr="00EF3908">
        <w:rPr>
          <w:rFonts w:ascii="Times New Roman" w:eastAsia="Times New Roman" w:hAnsi="Times New Roman" w:cs="Times New Roman"/>
          <w:noProof/>
          <w:sz w:val="18"/>
          <w:szCs w:val="18"/>
        </w:rPr>
        <w:t>ccupation in 1967</w:t>
      </w:r>
    </w:p>
  </w:footnote>
  <w:footnote w:id="6">
    <w:p w:rsidR="00D97CA4" w:rsidRPr="002F7A76" w:rsidRDefault="00D97CA4" w:rsidP="00CD4514">
      <w:pPr>
        <w:pStyle w:val="FootnoteText"/>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Public financial</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statements</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do not include</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local governments</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 xml:space="preserve">(local </w:t>
      </w:r>
      <w:r w:rsidRPr="002F7A76">
        <w:rPr>
          <w:rFonts w:ascii="Times New Roman" w:hAnsi="Times New Roman" w:cs="Times New Roman"/>
          <w:sz w:val="18"/>
          <w:szCs w:val="18"/>
        </w:rPr>
        <w:t xml:space="preserve">councils and </w:t>
      </w:r>
      <w:r w:rsidRPr="002F7A76">
        <w:rPr>
          <w:rStyle w:val="hps"/>
          <w:rFonts w:ascii="Times New Roman" w:hAnsi="Times New Roman" w:cs="Times New Roman"/>
          <w:sz w:val="18"/>
          <w:szCs w:val="18"/>
        </w:rPr>
        <w:t xml:space="preserve">municipalities), the data during Ministry of </w:t>
      </w:r>
      <w:r>
        <w:rPr>
          <w:rStyle w:val="hps"/>
          <w:rFonts w:ascii="Times New Roman" w:hAnsi="Times New Roman" w:cs="Times New Roman"/>
          <w:sz w:val="18"/>
          <w:szCs w:val="18"/>
        </w:rPr>
        <w:t>F</w:t>
      </w:r>
      <w:r w:rsidRPr="002F7A76">
        <w:rPr>
          <w:rStyle w:val="hps"/>
          <w:rFonts w:ascii="Times New Roman" w:hAnsi="Times New Roman" w:cs="Times New Roman"/>
          <w:sz w:val="18"/>
          <w:szCs w:val="18"/>
        </w:rPr>
        <w:t>inance</w:t>
      </w:r>
      <w:r>
        <w:rPr>
          <w:rStyle w:val="hps"/>
          <w:rFonts w:ascii="Times New Roman" w:hAnsi="Times New Roman" w:cs="Times New Roman"/>
          <w:sz w:val="18"/>
          <w:szCs w:val="18"/>
        </w:rPr>
        <w:t xml:space="preserve"> and Planning</w:t>
      </w:r>
      <w:r w:rsidRPr="002F7A76">
        <w:rPr>
          <w:rStyle w:val="hps"/>
          <w:rFonts w:ascii="Times New Roman" w:hAnsi="Times New Roman" w:cs="Times New Roman"/>
          <w:sz w:val="18"/>
          <w:szCs w:val="18"/>
        </w:rPr>
        <w:t>, and the data at commitment basis.</w:t>
      </w:r>
    </w:p>
  </w:footnote>
  <w:footnote w:id="7">
    <w:p w:rsidR="00D97CA4" w:rsidRPr="002F7A76" w:rsidRDefault="00D97CA4" w:rsidP="00CD4514">
      <w:pPr>
        <w:pStyle w:val="FootnoteText"/>
        <w:jc w:val="both"/>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Pr>
          <w:rFonts w:ascii="Times New Roman" w:eastAsia="Times New Roman" w:hAnsi="Times New Roman" w:cs="Times New Roman"/>
          <w:noProof/>
          <w:sz w:val="18"/>
          <w:szCs w:val="18"/>
        </w:rPr>
        <w:t>The data excluded those parts</w:t>
      </w:r>
      <w:r w:rsidRPr="002F7A76">
        <w:rPr>
          <w:rFonts w:ascii="Times New Roman" w:eastAsia="Times New Roman" w:hAnsi="Times New Roman" w:cs="Times New Roman"/>
          <w:noProof/>
          <w:sz w:val="18"/>
          <w:szCs w:val="18"/>
        </w:rPr>
        <w:t xml:space="preserve"> of Jerusalem which </w:t>
      </w:r>
      <w:r>
        <w:rPr>
          <w:rFonts w:ascii="Times New Roman" w:eastAsia="Times New Roman" w:hAnsi="Times New Roman" w:cs="Times New Roman"/>
          <w:noProof/>
          <w:sz w:val="18"/>
          <w:szCs w:val="18"/>
        </w:rPr>
        <w:t>were</w:t>
      </w:r>
      <w:r w:rsidRPr="002F7A76">
        <w:rPr>
          <w:rFonts w:ascii="Times New Roman" w:eastAsia="Times New Roman" w:hAnsi="Times New Roman" w:cs="Times New Roman"/>
          <w:noProof/>
          <w:sz w:val="18"/>
          <w:szCs w:val="18"/>
        </w:rPr>
        <w:t xml:space="preserve"> annexed by Israel</w:t>
      </w:r>
      <w:r>
        <w:rPr>
          <w:rFonts w:ascii="Times New Roman" w:eastAsia="Times New Roman" w:hAnsi="Times New Roman" w:cs="Times New Roman"/>
          <w:noProof/>
          <w:sz w:val="18"/>
          <w:szCs w:val="18"/>
        </w:rPr>
        <w:t>i</w:t>
      </w:r>
      <w:r w:rsidRPr="002F7A76">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o</w:t>
      </w:r>
      <w:r w:rsidRPr="002F7A76">
        <w:rPr>
          <w:rFonts w:ascii="Times New Roman" w:eastAsia="Times New Roman" w:hAnsi="Times New Roman" w:cs="Times New Roman"/>
          <w:noProof/>
          <w:sz w:val="18"/>
          <w:szCs w:val="18"/>
        </w:rPr>
        <w:t>ccupation in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CA4" w:rsidRPr="004C5AB5" w:rsidRDefault="00D97CA4" w:rsidP="00477F96">
    <w:pPr>
      <w:pStyle w:val="Header"/>
      <w:rPr>
        <w:rFonts w:ascii="Arial" w:hAnsi="Arial" w:cs="Arial"/>
        <w:sz w:val="18"/>
        <w:szCs w:val="18"/>
        <w:rtl/>
      </w:rPr>
    </w:pPr>
    <w:r w:rsidRPr="004C5AB5">
      <w:rPr>
        <w:rFonts w:ascii="Arial" w:hAnsi="Arial" w:cs="Arial"/>
        <w:sz w:val="18"/>
        <w:szCs w:val="18"/>
      </w:rPr>
      <w:t>PCBS: Performance of the Palestinian Economy, 2018</w:t>
    </w:r>
  </w:p>
  <w:p w:rsidR="00D97CA4" w:rsidRDefault="00D97C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6C3D"/>
    <w:multiLevelType w:val="hybridMultilevel"/>
    <w:tmpl w:val="FE906200"/>
    <w:lvl w:ilvl="0" w:tplc="A2DE8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FA1389"/>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90107"/>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84AC7"/>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4340EE"/>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111FF0"/>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AE4E72"/>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6143E4"/>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0F4F00A2"/>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931A9A"/>
    <w:multiLevelType w:val="hybridMultilevel"/>
    <w:tmpl w:val="92F8E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951DB7"/>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FD11CF"/>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4E0B8F"/>
    <w:multiLevelType w:val="hybridMultilevel"/>
    <w:tmpl w:val="27B2523E"/>
    <w:lvl w:ilvl="0" w:tplc="DA34B076">
      <w:start w:val="1"/>
      <w:numFmt w:val="decimal"/>
      <w:lvlText w:val="%1."/>
      <w:lvlJc w:val="left"/>
      <w:pPr>
        <w:ind w:left="2610" w:hanging="22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A07474D"/>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477EA7"/>
    <w:multiLevelType w:val="hybridMultilevel"/>
    <w:tmpl w:val="1FB4885A"/>
    <w:lvl w:ilvl="0" w:tplc="98EE52EA">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FA73BA"/>
    <w:multiLevelType w:val="hybridMultilevel"/>
    <w:tmpl w:val="F216CA0A"/>
    <w:lvl w:ilvl="0" w:tplc="77068C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8F33D2F"/>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056735"/>
    <w:multiLevelType w:val="hybridMultilevel"/>
    <w:tmpl w:val="6D4C63BC"/>
    <w:lvl w:ilvl="0" w:tplc="0409000F">
      <w:start w:val="1"/>
      <w:numFmt w:val="decimal"/>
      <w:lvlText w:val="%1."/>
      <w:lvlJc w:val="left"/>
      <w:pPr>
        <w:ind w:left="1080" w:right="1080" w:hanging="360"/>
      </w:pPr>
    </w:lvl>
    <w:lvl w:ilvl="1" w:tplc="04090019" w:tentative="1">
      <w:start w:val="1"/>
      <w:numFmt w:val="lowerLetter"/>
      <w:lvlText w:val="%2."/>
      <w:lvlJc w:val="left"/>
      <w:pPr>
        <w:ind w:left="1800" w:right="1800" w:hanging="360"/>
      </w:pPr>
    </w:lvl>
    <w:lvl w:ilvl="2" w:tplc="0409001B" w:tentative="1">
      <w:start w:val="1"/>
      <w:numFmt w:val="lowerRoman"/>
      <w:lvlText w:val="%3."/>
      <w:lvlJc w:val="right"/>
      <w:pPr>
        <w:ind w:left="2520" w:right="2520" w:hanging="180"/>
      </w:pPr>
    </w:lvl>
    <w:lvl w:ilvl="3" w:tplc="0409000F" w:tentative="1">
      <w:start w:val="1"/>
      <w:numFmt w:val="decimal"/>
      <w:lvlText w:val="%4."/>
      <w:lvlJc w:val="left"/>
      <w:pPr>
        <w:ind w:left="3240" w:right="3240" w:hanging="360"/>
      </w:pPr>
    </w:lvl>
    <w:lvl w:ilvl="4" w:tplc="04090019" w:tentative="1">
      <w:start w:val="1"/>
      <w:numFmt w:val="lowerLetter"/>
      <w:lvlText w:val="%5."/>
      <w:lvlJc w:val="left"/>
      <w:pPr>
        <w:ind w:left="3960" w:right="3960" w:hanging="360"/>
      </w:pPr>
    </w:lvl>
    <w:lvl w:ilvl="5" w:tplc="0409001B" w:tentative="1">
      <w:start w:val="1"/>
      <w:numFmt w:val="lowerRoman"/>
      <w:lvlText w:val="%6."/>
      <w:lvlJc w:val="right"/>
      <w:pPr>
        <w:ind w:left="4680" w:right="4680" w:hanging="180"/>
      </w:pPr>
    </w:lvl>
    <w:lvl w:ilvl="6" w:tplc="0409000F" w:tentative="1">
      <w:start w:val="1"/>
      <w:numFmt w:val="decimal"/>
      <w:lvlText w:val="%7."/>
      <w:lvlJc w:val="left"/>
      <w:pPr>
        <w:ind w:left="5400" w:right="5400" w:hanging="360"/>
      </w:pPr>
    </w:lvl>
    <w:lvl w:ilvl="7" w:tplc="04090019" w:tentative="1">
      <w:start w:val="1"/>
      <w:numFmt w:val="lowerLetter"/>
      <w:lvlText w:val="%8."/>
      <w:lvlJc w:val="left"/>
      <w:pPr>
        <w:ind w:left="6120" w:right="6120" w:hanging="360"/>
      </w:pPr>
    </w:lvl>
    <w:lvl w:ilvl="8" w:tplc="0409001B" w:tentative="1">
      <w:start w:val="1"/>
      <w:numFmt w:val="lowerRoman"/>
      <w:lvlText w:val="%9."/>
      <w:lvlJc w:val="right"/>
      <w:pPr>
        <w:ind w:left="6840" w:right="6840" w:hanging="180"/>
      </w:pPr>
    </w:lvl>
  </w:abstractNum>
  <w:abstractNum w:abstractNumId="19">
    <w:nsid w:val="297C3488"/>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0E78DD"/>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FB5E8F"/>
    <w:multiLevelType w:val="hybridMultilevel"/>
    <w:tmpl w:val="687CE292"/>
    <w:lvl w:ilvl="0" w:tplc="AB381B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5A23FE"/>
    <w:multiLevelType w:val="hybridMultilevel"/>
    <w:tmpl w:val="B8B6C810"/>
    <w:lvl w:ilvl="0" w:tplc="71C055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9E11A49"/>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3F38BD"/>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1F4FB4"/>
    <w:multiLevelType w:val="hybridMultilevel"/>
    <w:tmpl w:val="95B4A180"/>
    <w:lvl w:ilvl="0" w:tplc="AB381B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0E5EC9"/>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37535"/>
    <w:multiLevelType w:val="hybridMultilevel"/>
    <w:tmpl w:val="BAA4A0AC"/>
    <w:lvl w:ilvl="0" w:tplc="198443A6">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03D330E"/>
    <w:multiLevelType w:val="hybridMultilevel"/>
    <w:tmpl w:val="E9249724"/>
    <w:lvl w:ilvl="0" w:tplc="AB381B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1ED6A82"/>
    <w:multiLevelType w:val="hybridMultilevel"/>
    <w:tmpl w:val="AEA230F0"/>
    <w:lvl w:ilvl="0" w:tplc="B82A9D2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596DB4"/>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8BC0E55"/>
    <w:multiLevelType w:val="hybridMultilevel"/>
    <w:tmpl w:val="546C0810"/>
    <w:lvl w:ilvl="0" w:tplc="585E6154">
      <w:start w:val="1"/>
      <w:numFmt w:val="bullet"/>
      <w:lvlText w:val="-"/>
      <w:lvlJc w:val="left"/>
      <w:pPr>
        <w:ind w:left="390" w:hanging="360"/>
      </w:pPr>
      <w:rPr>
        <w:rFonts w:ascii="Arial" w:eastAsiaTheme="minorHAnsi" w:hAnsi="Arial" w:cs="Arial"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32">
    <w:nsid w:val="4AE869D2"/>
    <w:multiLevelType w:val="hybridMultilevel"/>
    <w:tmpl w:val="B736125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3">
    <w:nsid w:val="51991242"/>
    <w:multiLevelType w:val="hybridMultilevel"/>
    <w:tmpl w:val="6C707D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7B73F42"/>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A406D3"/>
    <w:multiLevelType w:val="hybridMultilevel"/>
    <w:tmpl w:val="14821384"/>
    <w:lvl w:ilvl="0" w:tplc="DE227CC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654BFA"/>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857551"/>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1A2E75"/>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322B91"/>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E324EF"/>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A43D69"/>
    <w:multiLevelType w:val="hybridMultilevel"/>
    <w:tmpl w:val="409641E6"/>
    <w:lvl w:ilvl="0" w:tplc="40544884">
      <w:start w:val="1"/>
      <w:numFmt w:val="decimal"/>
      <w:lvlText w:val="%1."/>
      <w:lvlJc w:val="left"/>
      <w:pPr>
        <w:ind w:left="585" w:hanging="360"/>
      </w:pPr>
      <w:rPr>
        <w:rFonts w:hint="default"/>
      </w:rPr>
    </w:lvl>
    <w:lvl w:ilvl="1" w:tplc="08090019" w:tentative="1">
      <w:start w:val="1"/>
      <w:numFmt w:val="lowerLetter"/>
      <w:lvlText w:val="%2."/>
      <w:lvlJc w:val="left"/>
      <w:pPr>
        <w:ind w:left="1305" w:hanging="360"/>
      </w:pPr>
    </w:lvl>
    <w:lvl w:ilvl="2" w:tplc="0809001B" w:tentative="1">
      <w:start w:val="1"/>
      <w:numFmt w:val="lowerRoman"/>
      <w:lvlText w:val="%3."/>
      <w:lvlJc w:val="right"/>
      <w:pPr>
        <w:ind w:left="2025" w:hanging="180"/>
      </w:pPr>
    </w:lvl>
    <w:lvl w:ilvl="3" w:tplc="0809000F" w:tentative="1">
      <w:start w:val="1"/>
      <w:numFmt w:val="decimal"/>
      <w:lvlText w:val="%4."/>
      <w:lvlJc w:val="left"/>
      <w:pPr>
        <w:ind w:left="2745" w:hanging="360"/>
      </w:pPr>
    </w:lvl>
    <w:lvl w:ilvl="4" w:tplc="08090019" w:tentative="1">
      <w:start w:val="1"/>
      <w:numFmt w:val="lowerLetter"/>
      <w:lvlText w:val="%5."/>
      <w:lvlJc w:val="left"/>
      <w:pPr>
        <w:ind w:left="3465" w:hanging="360"/>
      </w:pPr>
    </w:lvl>
    <w:lvl w:ilvl="5" w:tplc="0809001B" w:tentative="1">
      <w:start w:val="1"/>
      <w:numFmt w:val="lowerRoman"/>
      <w:lvlText w:val="%6."/>
      <w:lvlJc w:val="right"/>
      <w:pPr>
        <w:ind w:left="4185" w:hanging="180"/>
      </w:pPr>
    </w:lvl>
    <w:lvl w:ilvl="6" w:tplc="0809000F" w:tentative="1">
      <w:start w:val="1"/>
      <w:numFmt w:val="decimal"/>
      <w:lvlText w:val="%7."/>
      <w:lvlJc w:val="left"/>
      <w:pPr>
        <w:ind w:left="4905" w:hanging="360"/>
      </w:pPr>
    </w:lvl>
    <w:lvl w:ilvl="7" w:tplc="08090019" w:tentative="1">
      <w:start w:val="1"/>
      <w:numFmt w:val="lowerLetter"/>
      <w:lvlText w:val="%8."/>
      <w:lvlJc w:val="left"/>
      <w:pPr>
        <w:ind w:left="5625" w:hanging="360"/>
      </w:pPr>
    </w:lvl>
    <w:lvl w:ilvl="8" w:tplc="0809001B" w:tentative="1">
      <w:start w:val="1"/>
      <w:numFmt w:val="lowerRoman"/>
      <w:lvlText w:val="%9."/>
      <w:lvlJc w:val="right"/>
      <w:pPr>
        <w:ind w:left="6345" w:hanging="180"/>
      </w:pPr>
    </w:lvl>
  </w:abstractNum>
  <w:abstractNum w:abstractNumId="42">
    <w:nsid w:val="7E3B6F7A"/>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28"/>
  </w:num>
  <w:num w:numId="4">
    <w:abstractNumId w:val="29"/>
  </w:num>
  <w:num w:numId="5">
    <w:abstractNumId w:val="18"/>
  </w:num>
  <w:num w:numId="6">
    <w:abstractNumId w:val="0"/>
  </w:num>
  <w:num w:numId="7">
    <w:abstractNumId w:val="35"/>
  </w:num>
  <w:num w:numId="8">
    <w:abstractNumId w:val="27"/>
  </w:num>
  <w:num w:numId="9">
    <w:abstractNumId w:val="15"/>
  </w:num>
  <w:num w:numId="10">
    <w:abstractNumId w:val="16"/>
  </w:num>
  <w:num w:numId="11">
    <w:abstractNumId w:val="22"/>
  </w:num>
  <w:num w:numId="12">
    <w:abstractNumId w:val="13"/>
  </w:num>
  <w:num w:numId="13">
    <w:abstractNumId w:val="41"/>
  </w:num>
  <w:num w:numId="14">
    <w:abstractNumId w:val="33"/>
  </w:num>
  <w:num w:numId="15">
    <w:abstractNumId w:val="32"/>
  </w:num>
  <w:num w:numId="16">
    <w:abstractNumId w:val="30"/>
  </w:num>
  <w:num w:numId="17">
    <w:abstractNumId w:val="31"/>
  </w:num>
  <w:num w:numId="18">
    <w:abstractNumId w:val="24"/>
  </w:num>
  <w:num w:numId="19">
    <w:abstractNumId w:val="34"/>
  </w:num>
  <w:num w:numId="20">
    <w:abstractNumId w:val="1"/>
  </w:num>
  <w:num w:numId="21">
    <w:abstractNumId w:val="14"/>
  </w:num>
  <w:num w:numId="22">
    <w:abstractNumId w:val="6"/>
  </w:num>
  <w:num w:numId="23">
    <w:abstractNumId w:val="20"/>
  </w:num>
  <w:num w:numId="24">
    <w:abstractNumId w:val="12"/>
  </w:num>
  <w:num w:numId="25">
    <w:abstractNumId w:val="38"/>
  </w:num>
  <w:num w:numId="26">
    <w:abstractNumId w:val="2"/>
  </w:num>
  <w:num w:numId="27">
    <w:abstractNumId w:val="17"/>
  </w:num>
  <w:num w:numId="28">
    <w:abstractNumId w:val="39"/>
  </w:num>
  <w:num w:numId="29">
    <w:abstractNumId w:val="11"/>
  </w:num>
  <w:num w:numId="30">
    <w:abstractNumId w:val="26"/>
  </w:num>
  <w:num w:numId="31">
    <w:abstractNumId w:val="5"/>
  </w:num>
  <w:num w:numId="32">
    <w:abstractNumId w:val="37"/>
  </w:num>
  <w:num w:numId="33">
    <w:abstractNumId w:val="40"/>
  </w:num>
  <w:num w:numId="34">
    <w:abstractNumId w:val="19"/>
  </w:num>
  <w:num w:numId="35">
    <w:abstractNumId w:val="3"/>
  </w:num>
  <w:num w:numId="36">
    <w:abstractNumId w:val="4"/>
  </w:num>
  <w:num w:numId="37">
    <w:abstractNumId w:val="23"/>
  </w:num>
  <w:num w:numId="38">
    <w:abstractNumId w:val="9"/>
  </w:num>
  <w:num w:numId="39">
    <w:abstractNumId w:val="42"/>
  </w:num>
  <w:num w:numId="40">
    <w:abstractNumId w:val="36"/>
  </w:num>
  <w:num w:numId="41">
    <w:abstractNumId w:val="7"/>
  </w:num>
  <w:num w:numId="42">
    <w:abstractNumId w:val="21"/>
  </w:num>
  <w:num w:numId="4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9B6354"/>
    <w:rsid w:val="000007BA"/>
    <w:rsid w:val="0000147F"/>
    <w:rsid w:val="00013772"/>
    <w:rsid w:val="000157D5"/>
    <w:rsid w:val="00015E54"/>
    <w:rsid w:val="00057B7B"/>
    <w:rsid w:val="0008385C"/>
    <w:rsid w:val="000939E6"/>
    <w:rsid w:val="000970CD"/>
    <w:rsid w:val="000A327F"/>
    <w:rsid w:val="000A4D62"/>
    <w:rsid w:val="000B2FA2"/>
    <w:rsid w:val="000C1872"/>
    <w:rsid w:val="000C5EB3"/>
    <w:rsid w:val="000F6367"/>
    <w:rsid w:val="00101925"/>
    <w:rsid w:val="00114BB8"/>
    <w:rsid w:val="0011767E"/>
    <w:rsid w:val="00137FD4"/>
    <w:rsid w:val="001410E8"/>
    <w:rsid w:val="0015479D"/>
    <w:rsid w:val="00163633"/>
    <w:rsid w:val="0016729F"/>
    <w:rsid w:val="001739A7"/>
    <w:rsid w:val="00196B67"/>
    <w:rsid w:val="001B2EF5"/>
    <w:rsid w:val="001B53E8"/>
    <w:rsid w:val="001C15E0"/>
    <w:rsid w:val="001D1FDF"/>
    <w:rsid w:val="001D209F"/>
    <w:rsid w:val="001F0439"/>
    <w:rsid w:val="00201D8F"/>
    <w:rsid w:val="002072B0"/>
    <w:rsid w:val="00221B32"/>
    <w:rsid w:val="002348CB"/>
    <w:rsid w:val="00254059"/>
    <w:rsid w:val="00254C31"/>
    <w:rsid w:val="00264792"/>
    <w:rsid w:val="002648C6"/>
    <w:rsid w:val="00297841"/>
    <w:rsid w:val="002A22A9"/>
    <w:rsid w:val="002C18F1"/>
    <w:rsid w:val="002C3ABD"/>
    <w:rsid w:val="002E22A9"/>
    <w:rsid w:val="002F404B"/>
    <w:rsid w:val="0030428D"/>
    <w:rsid w:val="00311E45"/>
    <w:rsid w:val="00312BCF"/>
    <w:rsid w:val="00317FB8"/>
    <w:rsid w:val="00321527"/>
    <w:rsid w:val="0032196A"/>
    <w:rsid w:val="00341B34"/>
    <w:rsid w:val="00341CAC"/>
    <w:rsid w:val="0034561B"/>
    <w:rsid w:val="00362583"/>
    <w:rsid w:val="00364FB2"/>
    <w:rsid w:val="0036587C"/>
    <w:rsid w:val="00376E46"/>
    <w:rsid w:val="00384DB7"/>
    <w:rsid w:val="003915C1"/>
    <w:rsid w:val="003E1FDA"/>
    <w:rsid w:val="003E6A80"/>
    <w:rsid w:val="00406784"/>
    <w:rsid w:val="00450C5B"/>
    <w:rsid w:val="0047511E"/>
    <w:rsid w:val="004761BD"/>
    <w:rsid w:val="004766E6"/>
    <w:rsid w:val="00477F96"/>
    <w:rsid w:val="004A6862"/>
    <w:rsid w:val="004B730B"/>
    <w:rsid w:val="004C2D05"/>
    <w:rsid w:val="004C3DB5"/>
    <w:rsid w:val="004E34E8"/>
    <w:rsid w:val="004F2EDD"/>
    <w:rsid w:val="00513EDE"/>
    <w:rsid w:val="00541FF1"/>
    <w:rsid w:val="00560E46"/>
    <w:rsid w:val="005820B5"/>
    <w:rsid w:val="0059390F"/>
    <w:rsid w:val="005A48E7"/>
    <w:rsid w:val="005A51A4"/>
    <w:rsid w:val="005D1774"/>
    <w:rsid w:val="005D705A"/>
    <w:rsid w:val="005F3E7C"/>
    <w:rsid w:val="005F6F96"/>
    <w:rsid w:val="006045BF"/>
    <w:rsid w:val="00614B03"/>
    <w:rsid w:val="006178F1"/>
    <w:rsid w:val="006203D8"/>
    <w:rsid w:val="00624E28"/>
    <w:rsid w:val="00640311"/>
    <w:rsid w:val="00641BE5"/>
    <w:rsid w:val="00663EA1"/>
    <w:rsid w:val="00665B1F"/>
    <w:rsid w:val="006875AE"/>
    <w:rsid w:val="0069364B"/>
    <w:rsid w:val="00694F89"/>
    <w:rsid w:val="006B4262"/>
    <w:rsid w:val="006F4FF3"/>
    <w:rsid w:val="006F7898"/>
    <w:rsid w:val="007006AD"/>
    <w:rsid w:val="007278EF"/>
    <w:rsid w:val="0073273D"/>
    <w:rsid w:val="00736290"/>
    <w:rsid w:val="00737F71"/>
    <w:rsid w:val="00774E7C"/>
    <w:rsid w:val="007A7309"/>
    <w:rsid w:val="007B0EA4"/>
    <w:rsid w:val="007C22AA"/>
    <w:rsid w:val="007C2DF0"/>
    <w:rsid w:val="007E2CAC"/>
    <w:rsid w:val="00812EB3"/>
    <w:rsid w:val="00835DFD"/>
    <w:rsid w:val="008361CC"/>
    <w:rsid w:val="00840591"/>
    <w:rsid w:val="00855205"/>
    <w:rsid w:val="008604EB"/>
    <w:rsid w:val="0086522D"/>
    <w:rsid w:val="008759D8"/>
    <w:rsid w:val="008765BE"/>
    <w:rsid w:val="00883E2C"/>
    <w:rsid w:val="008869CE"/>
    <w:rsid w:val="00887691"/>
    <w:rsid w:val="008939E8"/>
    <w:rsid w:val="008A63DE"/>
    <w:rsid w:val="008B7485"/>
    <w:rsid w:val="008C62F4"/>
    <w:rsid w:val="008D018D"/>
    <w:rsid w:val="008D0B75"/>
    <w:rsid w:val="008D23ED"/>
    <w:rsid w:val="008D5E7B"/>
    <w:rsid w:val="00906302"/>
    <w:rsid w:val="00922AF3"/>
    <w:rsid w:val="00925BE0"/>
    <w:rsid w:val="009761A6"/>
    <w:rsid w:val="00980DA3"/>
    <w:rsid w:val="009814E2"/>
    <w:rsid w:val="00993561"/>
    <w:rsid w:val="009B6354"/>
    <w:rsid w:val="009C5164"/>
    <w:rsid w:val="009D5AE3"/>
    <w:rsid w:val="009E4CF3"/>
    <w:rsid w:val="009F0F85"/>
    <w:rsid w:val="00A024C2"/>
    <w:rsid w:val="00A04B10"/>
    <w:rsid w:val="00A05FCB"/>
    <w:rsid w:val="00A07C26"/>
    <w:rsid w:val="00A242A8"/>
    <w:rsid w:val="00A245D1"/>
    <w:rsid w:val="00A365CB"/>
    <w:rsid w:val="00A372C2"/>
    <w:rsid w:val="00A405D5"/>
    <w:rsid w:val="00A6181D"/>
    <w:rsid w:val="00A714EA"/>
    <w:rsid w:val="00A74D0D"/>
    <w:rsid w:val="00A77491"/>
    <w:rsid w:val="00A85E7D"/>
    <w:rsid w:val="00AB01C3"/>
    <w:rsid w:val="00AB170A"/>
    <w:rsid w:val="00AB3519"/>
    <w:rsid w:val="00AB6779"/>
    <w:rsid w:val="00AE1CD5"/>
    <w:rsid w:val="00AF3DC3"/>
    <w:rsid w:val="00B03656"/>
    <w:rsid w:val="00B14658"/>
    <w:rsid w:val="00B21DB9"/>
    <w:rsid w:val="00B24670"/>
    <w:rsid w:val="00B34DE4"/>
    <w:rsid w:val="00B65479"/>
    <w:rsid w:val="00B6650B"/>
    <w:rsid w:val="00B84D02"/>
    <w:rsid w:val="00B86869"/>
    <w:rsid w:val="00B868A9"/>
    <w:rsid w:val="00BB7D2F"/>
    <w:rsid w:val="00BC022F"/>
    <w:rsid w:val="00BC3ED9"/>
    <w:rsid w:val="00BC7583"/>
    <w:rsid w:val="00BD79D0"/>
    <w:rsid w:val="00BE633C"/>
    <w:rsid w:val="00BF061E"/>
    <w:rsid w:val="00C05D5D"/>
    <w:rsid w:val="00C062A5"/>
    <w:rsid w:val="00C06A78"/>
    <w:rsid w:val="00C1645E"/>
    <w:rsid w:val="00C16ED4"/>
    <w:rsid w:val="00C23C66"/>
    <w:rsid w:val="00C271AF"/>
    <w:rsid w:val="00C31E01"/>
    <w:rsid w:val="00C44117"/>
    <w:rsid w:val="00C51D2B"/>
    <w:rsid w:val="00C62C6B"/>
    <w:rsid w:val="00C71425"/>
    <w:rsid w:val="00C7614F"/>
    <w:rsid w:val="00CA556D"/>
    <w:rsid w:val="00CB7DEE"/>
    <w:rsid w:val="00CC1850"/>
    <w:rsid w:val="00CC7A70"/>
    <w:rsid w:val="00CD110D"/>
    <w:rsid w:val="00CD4514"/>
    <w:rsid w:val="00CE0553"/>
    <w:rsid w:val="00CE7AB8"/>
    <w:rsid w:val="00CF48D5"/>
    <w:rsid w:val="00D33BE0"/>
    <w:rsid w:val="00D45112"/>
    <w:rsid w:val="00D46119"/>
    <w:rsid w:val="00D560E9"/>
    <w:rsid w:val="00D6509D"/>
    <w:rsid w:val="00D8317D"/>
    <w:rsid w:val="00D86D2F"/>
    <w:rsid w:val="00D97CA4"/>
    <w:rsid w:val="00DA4E1B"/>
    <w:rsid w:val="00DD5870"/>
    <w:rsid w:val="00DF6987"/>
    <w:rsid w:val="00E06EFD"/>
    <w:rsid w:val="00E33322"/>
    <w:rsid w:val="00E53015"/>
    <w:rsid w:val="00E55EEA"/>
    <w:rsid w:val="00E66E2C"/>
    <w:rsid w:val="00E7271F"/>
    <w:rsid w:val="00E73E95"/>
    <w:rsid w:val="00E917B9"/>
    <w:rsid w:val="00E96E2A"/>
    <w:rsid w:val="00EB059F"/>
    <w:rsid w:val="00ED1147"/>
    <w:rsid w:val="00ED301B"/>
    <w:rsid w:val="00ED4E31"/>
    <w:rsid w:val="00ED6FC9"/>
    <w:rsid w:val="00EE45BF"/>
    <w:rsid w:val="00EF105D"/>
    <w:rsid w:val="00F00733"/>
    <w:rsid w:val="00F22EB1"/>
    <w:rsid w:val="00F239B0"/>
    <w:rsid w:val="00F25660"/>
    <w:rsid w:val="00F342FA"/>
    <w:rsid w:val="00F360B5"/>
    <w:rsid w:val="00F36FD6"/>
    <w:rsid w:val="00F52395"/>
    <w:rsid w:val="00F72738"/>
    <w:rsid w:val="00F7671A"/>
    <w:rsid w:val="00F96133"/>
    <w:rsid w:val="00FA0400"/>
    <w:rsid w:val="00FA0800"/>
    <w:rsid w:val="00FC7573"/>
    <w:rsid w:val="00FC7BDD"/>
    <w:rsid w:val="00FE2233"/>
    <w:rsid w:val="00FE4C48"/>
    <w:rsid w:val="00FF7E95"/>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354"/>
    <w:rPr>
      <w:rFonts w:eastAsiaTheme="minorEastAsia"/>
      <w:lang w:val="en-GB" w:eastAsia="en-GB"/>
    </w:rPr>
  </w:style>
  <w:style w:type="paragraph" w:styleId="Heading1">
    <w:name w:val="heading 1"/>
    <w:basedOn w:val="Normal"/>
    <w:next w:val="Normal"/>
    <w:link w:val="Heading1Char"/>
    <w:uiPriority w:val="9"/>
    <w:qFormat/>
    <w:rsid w:val="00CD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D451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D45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D4514"/>
    <w:pPr>
      <w:keepNext/>
      <w:keepLines/>
      <w:bidi/>
      <w:spacing w:before="20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B1465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B1465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B1465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B14658"/>
    <w:rPr>
      <w:rFonts w:asciiTheme="majorHAnsi" w:eastAsiaTheme="majorEastAsia" w:hAnsiTheme="majorHAnsi" w:cstheme="majorBidi"/>
      <w:color w:val="243F60" w:themeColor="accent1" w:themeShade="7F"/>
      <w:lang w:val="en-GB" w:eastAsia="en-GB"/>
    </w:rPr>
  </w:style>
  <w:style w:type="character" w:customStyle="1" w:styleId="Heading7Char">
    <w:name w:val="Heading 7 Char"/>
    <w:basedOn w:val="DefaultParagraphFont"/>
    <w:link w:val="Heading7"/>
    <w:rsid w:val="00B14658"/>
    <w:rPr>
      <w:rFonts w:asciiTheme="majorHAnsi" w:eastAsiaTheme="majorEastAsia" w:hAnsiTheme="majorHAnsi" w:cstheme="majorBidi"/>
      <w:i/>
      <w:iCs/>
      <w:color w:val="404040" w:themeColor="text1" w:themeTint="BF"/>
      <w:lang w:val="en-GB" w:eastAsia="en-GB"/>
    </w:rPr>
  </w:style>
  <w:style w:type="paragraph" w:customStyle="1" w:styleId="xl69">
    <w:name w:val="xl69"/>
    <w:basedOn w:val="Normal"/>
    <w:rsid w:val="00B1465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BalloonText">
    <w:name w:val="Balloon Text"/>
    <w:basedOn w:val="Normal"/>
    <w:link w:val="BalloonTextChar"/>
    <w:uiPriority w:val="99"/>
    <w:semiHidden/>
    <w:unhideWhenUsed/>
    <w:rsid w:val="00B14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4658"/>
    <w:rPr>
      <w:rFonts w:ascii="Tahoma" w:eastAsiaTheme="minorEastAsia" w:hAnsi="Tahoma" w:cs="Tahoma"/>
      <w:sz w:val="16"/>
      <w:szCs w:val="16"/>
      <w:lang w:val="en-GB" w:eastAsia="en-GB"/>
    </w:rPr>
  </w:style>
  <w:style w:type="table" w:styleId="TableGrid">
    <w:name w:val="Table Grid"/>
    <w:basedOn w:val="TableNormal"/>
    <w:uiPriority w:val="59"/>
    <w:rsid w:val="00B14658"/>
    <w:pPr>
      <w:spacing w:after="0" w:line="240" w:lineRule="auto"/>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semiHidden/>
    <w:unhideWhenUsed/>
    <w:rsid w:val="00B14658"/>
    <w:pPr>
      <w:spacing w:after="120" w:line="480" w:lineRule="auto"/>
    </w:pPr>
  </w:style>
  <w:style w:type="character" w:customStyle="1" w:styleId="BodyText2Char">
    <w:name w:val="Body Text 2 Char"/>
    <w:basedOn w:val="DefaultParagraphFont"/>
    <w:link w:val="BodyText2"/>
    <w:semiHidden/>
    <w:rsid w:val="00B14658"/>
    <w:rPr>
      <w:rFonts w:eastAsiaTheme="minorEastAsia"/>
      <w:lang w:val="en-GB" w:eastAsia="en-GB"/>
    </w:rPr>
  </w:style>
  <w:style w:type="paragraph" w:styleId="Title">
    <w:name w:val="Title"/>
    <w:basedOn w:val="Normal"/>
    <w:link w:val="TitleChar"/>
    <w:qFormat/>
    <w:rsid w:val="00B14658"/>
    <w:pPr>
      <w:bidi/>
      <w:spacing w:after="0" w:line="240" w:lineRule="auto"/>
      <w:jc w:val="center"/>
    </w:pPr>
    <w:rPr>
      <w:rFonts w:ascii="Times New Roman" w:eastAsia="Times New Roman" w:hAnsi="Times New Roman" w:cs="Simplified Arabic"/>
      <w:b/>
      <w:bCs/>
      <w:sz w:val="24"/>
      <w:szCs w:val="24"/>
    </w:rPr>
  </w:style>
  <w:style w:type="character" w:customStyle="1" w:styleId="TitleChar">
    <w:name w:val="Title Char"/>
    <w:basedOn w:val="DefaultParagraphFont"/>
    <w:link w:val="Title"/>
    <w:rsid w:val="00B14658"/>
    <w:rPr>
      <w:rFonts w:ascii="Times New Roman" w:eastAsia="Times New Roman" w:hAnsi="Times New Roman" w:cs="Simplified Arabic"/>
      <w:b/>
      <w:bCs/>
      <w:sz w:val="24"/>
      <w:szCs w:val="24"/>
      <w:lang w:val="en-GB" w:eastAsia="en-GB"/>
    </w:rPr>
  </w:style>
  <w:style w:type="character" w:styleId="Hyperlink">
    <w:name w:val="Hyperlink"/>
    <w:basedOn w:val="DefaultParagraphFont"/>
    <w:semiHidden/>
    <w:rsid w:val="00B14658"/>
    <w:rPr>
      <w:color w:val="0000FF"/>
      <w:u w:val="single"/>
    </w:rPr>
  </w:style>
  <w:style w:type="paragraph" w:styleId="BodyText">
    <w:name w:val="Body Text"/>
    <w:basedOn w:val="Normal"/>
    <w:link w:val="BodyTextChar"/>
    <w:unhideWhenUsed/>
    <w:rsid w:val="00B14658"/>
    <w:pPr>
      <w:bidi/>
      <w:spacing w:after="120"/>
    </w:pPr>
    <w:rPr>
      <w:rFonts w:ascii="Calibri" w:eastAsia="Calibri" w:hAnsi="Calibri" w:cs="Arial"/>
    </w:rPr>
  </w:style>
  <w:style w:type="character" w:customStyle="1" w:styleId="BodyTextChar">
    <w:name w:val="Body Text Char"/>
    <w:basedOn w:val="DefaultParagraphFont"/>
    <w:link w:val="BodyText"/>
    <w:rsid w:val="00B14658"/>
    <w:rPr>
      <w:rFonts w:ascii="Calibri" w:eastAsia="Calibri" w:hAnsi="Calibri" w:cs="Arial"/>
      <w:lang w:val="en-GB" w:eastAsia="en-GB"/>
    </w:rPr>
  </w:style>
  <w:style w:type="paragraph" w:styleId="BlockText">
    <w:name w:val="Block Text"/>
    <w:basedOn w:val="Normal"/>
    <w:semiHidden/>
    <w:rsid w:val="00B14658"/>
    <w:pPr>
      <w:tabs>
        <w:tab w:val="right" w:pos="8647"/>
      </w:tabs>
      <w:spacing w:after="0" w:line="240" w:lineRule="auto"/>
      <w:ind w:left="1134" w:right="566"/>
      <w:jc w:val="lowKashida"/>
    </w:pPr>
    <w:rPr>
      <w:rFonts w:ascii="Times New Roman" w:eastAsia="Times New Roman" w:hAnsi="Times New Roman" w:cs="Traditional Arabic"/>
      <w:sz w:val="24"/>
      <w:szCs w:val="20"/>
      <w:lang w:val="en-US" w:eastAsia="ar-SA"/>
    </w:rPr>
  </w:style>
  <w:style w:type="character" w:customStyle="1" w:styleId="Heading6Char">
    <w:name w:val="Heading 6 Char"/>
    <w:basedOn w:val="DefaultParagraphFont"/>
    <w:link w:val="Heading6"/>
    <w:uiPriority w:val="9"/>
    <w:rsid w:val="00B14658"/>
    <w:rPr>
      <w:rFonts w:asciiTheme="majorHAnsi" w:eastAsiaTheme="majorEastAsia" w:hAnsiTheme="majorHAnsi" w:cstheme="majorBidi"/>
      <w:i/>
      <w:iCs/>
      <w:color w:val="243F60" w:themeColor="accent1" w:themeShade="7F"/>
      <w:lang w:val="en-GB" w:eastAsia="en-GB"/>
    </w:rPr>
  </w:style>
  <w:style w:type="paragraph" w:styleId="ListParagraph">
    <w:name w:val="List Paragraph"/>
    <w:basedOn w:val="Normal"/>
    <w:uiPriority w:val="34"/>
    <w:qFormat/>
    <w:rsid w:val="00B14658"/>
    <w:pPr>
      <w:ind w:left="720"/>
      <w:contextualSpacing/>
    </w:pPr>
  </w:style>
  <w:style w:type="paragraph" w:styleId="FootnoteText">
    <w:name w:val="footnote text"/>
    <w:basedOn w:val="Normal"/>
    <w:link w:val="FootnoteTextChar"/>
    <w:unhideWhenUsed/>
    <w:rsid w:val="00CD4514"/>
    <w:pPr>
      <w:spacing w:after="0" w:line="240" w:lineRule="auto"/>
    </w:pPr>
    <w:rPr>
      <w:sz w:val="20"/>
      <w:szCs w:val="20"/>
    </w:rPr>
  </w:style>
  <w:style w:type="character" w:customStyle="1" w:styleId="FootnoteTextChar">
    <w:name w:val="Footnote Text Char"/>
    <w:basedOn w:val="DefaultParagraphFont"/>
    <w:link w:val="FootnoteText"/>
    <w:rsid w:val="00CD4514"/>
    <w:rPr>
      <w:rFonts w:eastAsiaTheme="minorEastAsia"/>
      <w:sz w:val="20"/>
      <w:szCs w:val="20"/>
      <w:lang w:val="en-GB" w:eastAsia="en-GB"/>
    </w:rPr>
  </w:style>
  <w:style w:type="paragraph" w:styleId="BodyText3">
    <w:name w:val="Body Text 3"/>
    <w:basedOn w:val="Normal"/>
    <w:link w:val="BodyText3Char"/>
    <w:unhideWhenUsed/>
    <w:rsid w:val="00CD4514"/>
    <w:pPr>
      <w:spacing w:after="120"/>
    </w:pPr>
    <w:rPr>
      <w:sz w:val="16"/>
      <w:szCs w:val="16"/>
    </w:rPr>
  </w:style>
  <w:style w:type="character" w:customStyle="1" w:styleId="BodyText3Char">
    <w:name w:val="Body Text 3 Char"/>
    <w:basedOn w:val="DefaultParagraphFont"/>
    <w:link w:val="BodyText3"/>
    <w:rsid w:val="00CD4514"/>
    <w:rPr>
      <w:rFonts w:eastAsiaTheme="minorEastAsia"/>
      <w:sz w:val="16"/>
      <w:szCs w:val="16"/>
      <w:lang w:val="en-GB" w:eastAsia="en-GB"/>
    </w:rPr>
  </w:style>
  <w:style w:type="character" w:customStyle="1" w:styleId="Heading1Char">
    <w:name w:val="Heading 1 Char"/>
    <w:basedOn w:val="DefaultParagraphFont"/>
    <w:link w:val="Heading1"/>
    <w:uiPriority w:val="9"/>
    <w:rsid w:val="00CD4514"/>
    <w:rPr>
      <w:rFonts w:asciiTheme="majorHAnsi" w:eastAsiaTheme="majorEastAsia" w:hAnsiTheme="majorHAnsi" w:cstheme="majorBidi"/>
      <w:b/>
      <w:bCs/>
      <w:color w:val="365F91" w:themeColor="accent1" w:themeShade="BF"/>
      <w:sz w:val="28"/>
      <w:szCs w:val="28"/>
      <w:lang w:val="en-GB" w:eastAsia="en-GB"/>
    </w:rPr>
  </w:style>
  <w:style w:type="character" w:customStyle="1" w:styleId="Heading2Char">
    <w:name w:val="Heading 2 Char"/>
    <w:basedOn w:val="DefaultParagraphFont"/>
    <w:link w:val="Heading2"/>
    <w:uiPriority w:val="9"/>
    <w:semiHidden/>
    <w:rsid w:val="00CD4514"/>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basedOn w:val="DefaultParagraphFont"/>
    <w:link w:val="Heading3"/>
    <w:uiPriority w:val="9"/>
    <w:rsid w:val="00CD4514"/>
    <w:rPr>
      <w:rFonts w:asciiTheme="majorHAnsi" w:eastAsiaTheme="majorEastAsia" w:hAnsiTheme="majorHAnsi" w:cstheme="majorBidi"/>
      <w:b/>
      <w:bCs/>
      <w:color w:val="4F81BD" w:themeColor="accent1"/>
      <w:lang w:val="en-GB" w:eastAsia="en-GB"/>
    </w:rPr>
  </w:style>
  <w:style w:type="character" w:customStyle="1" w:styleId="Heading4Char">
    <w:name w:val="Heading 4 Char"/>
    <w:basedOn w:val="DefaultParagraphFont"/>
    <w:link w:val="Heading4"/>
    <w:rsid w:val="00CD4514"/>
    <w:rPr>
      <w:rFonts w:ascii="Cambria" w:eastAsia="Times New Roman" w:hAnsi="Cambria" w:cs="Times New Roman"/>
      <w:b/>
      <w:bCs/>
      <w:i/>
      <w:iCs/>
      <w:color w:val="4F81BD"/>
      <w:lang w:val="en-GB" w:eastAsia="en-GB"/>
    </w:rPr>
  </w:style>
  <w:style w:type="character" w:styleId="FootnoteReference">
    <w:name w:val="footnote reference"/>
    <w:basedOn w:val="DefaultParagraphFont"/>
    <w:semiHidden/>
    <w:unhideWhenUsed/>
    <w:rsid w:val="00CD4514"/>
    <w:rPr>
      <w:vertAlign w:val="superscript"/>
    </w:rPr>
  </w:style>
  <w:style w:type="paragraph" w:styleId="Header">
    <w:name w:val="header"/>
    <w:basedOn w:val="Normal"/>
    <w:link w:val="HeaderChar"/>
    <w:uiPriority w:val="99"/>
    <w:unhideWhenUsed/>
    <w:rsid w:val="00CD4514"/>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4514"/>
    <w:rPr>
      <w:rFonts w:eastAsiaTheme="minorEastAsia"/>
      <w:lang w:val="en-GB" w:eastAsia="en-GB"/>
    </w:rPr>
  </w:style>
  <w:style w:type="paragraph" w:styleId="Footer">
    <w:name w:val="footer"/>
    <w:basedOn w:val="Normal"/>
    <w:link w:val="FooterChar"/>
    <w:uiPriority w:val="99"/>
    <w:unhideWhenUsed/>
    <w:rsid w:val="00CD4514"/>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4514"/>
    <w:rPr>
      <w:rFonts w:eastAsiaTheme="minorEastAsia"/>
      <w:lang w:val="en-GB" w:eastAsia="en-GB"/>
    </w:rPr>
  </w:style>
  <w:style w:type="paragraph" w:styleId="NormalWeb">
    <w:name w:val="Normal (Web)"/>
    <w:basedOn w:val="Normal"/>
    <w:unhideWhenUsed/>
    <w:rsid w:val="00CD45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basedOn w:val="DefaultParagraphFont"/>
    <w:rsid w:val="00CD4514"/>
  </w:style>
  <w:style w:type="character" w:styleId="CommentReference">
    <w:name w:val="annotation reference"/>
    <w:basedOn w:val="DefaultParagraphFont"/>
    <w:uiPriority w:val="99"/>
    <w:semiHidden/>
    <w:unhideWhenUsed/>
    <w:rsid w:val="00CD4514"/>
    <w:rPr>
      <w:sz w:val="16"/>
      <w:szCs w:val="16"/>
    </w:rPr>
  </w:style>
  <w:style w:type="paragraph" w:styleId="CommentText">
    <w:name w:val="annotation text"/>
    <w:basedOn w:val="Normal"/>
    <w:link w:val="CommentTextChar"/>
    <w:uiPriority w:val="99"/>
    <w:semiHidden/>
    <w:unhideWhenUsed/>
    <w:rsid w:val="00CD4514"/>
    <w:pPr>
      <w:spacing w:line="240" w:lineRule="auto"/>
    </w:pPr>
    <w:rPr>
      <w:sz w:val="20"/>
      <w:szCs w:val="20"/>
    </w:rPr>
  </w:style>
  <w:style w:type="character" w:customStyle="1" w:styleId="CommentTextChar">
    <w:name w:val="Comment Text Char"/>
    <w:basedOn w:val="DefaultParagraphFont"/>
    <w:link w:val="CommentText"/>
    <w:uiPriority w:val="99"/>
    <w:semiHidden/>
    <w:rsid w:val="00CD4514"/>
    <w:rPr>
      <w:rFonts w:eastAsiaTheme="minorEastAsia"/>
      <w:sz w:val="20"/>
      <w:szCs w:val="20"/>
      <w:lang w:val="en-GB" w:eastAsia="en-GB"/>
    </w:rPr>
  </w:style>
  <w:style w:type="paragraph" w:styleId="CommentSubject">
    <w:name w:val="annotation subject"/>
    <w:basedOn w:val="CommentText"/>
    <w:next w:val="CommentText"/>
    <w:link w:val="CommentSubjectChar"/>
    <w:uiPriority w:val="99"/>
    <w:semiHidden/>
    <w:unhideWhenUsed/>
    <w:rsid w:val="00CD4514"/>
    <w:rPr>
      <w:b/>
      <w:bCs/>
    </w:rPr>
  </w:style>
  <w:style w:type="character" w:customStyle="1" w:styleId="CommentSubjectChar">
    <w:name w:val="Comment Subject Char"/>
    <w:basedOn w:val="CommentTextChar"/>
    <w:link w:val="CommentSubject"/>
    <w:uiPriority w:val="99"/>
    <w:semiHidden/>
    <w:rsid w:val="00CD4514"/>
    <w:rPr>
      <w:b/>
      <w:bCs/>
    </w:rPr>
  </w:style>
  <w:style w:type="paragraph" w:styleId="Revision">
    <w:name w:val="Revision"/>
    <w:hidden/>
    <w:uiPriority w:val="99"/>
    <w:semiHidden/>
    <w:rsid w:val="00CD4514"/>
    <w:pPr>
      <w:spacing w:after="0" w:line="240" w:lineRule="auto"/>
    </w:pPr>
    <w:rPr>
      <w:rFonts w:eastAsiaTheme="minorEastAsia"/>
      <w:lang w:val="en-GB" w:eastAsia="en-GB"/>
    </w:rPr>
  </w:style>
  <w:style w:type="paragraph" w:styleId="EndnoteText">
    <w:name w:val="endnote text"/>
    <w:basedOn w:val="Normal"/>
    <w:link w:val="EndnoteTextChar"/>
    <w:uiPriority w:val="99"/>
    <w:semiHidden/>
    <w:unhideWhenUsed/>
    <w:rsid w:val="00CD45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D4514"/>
    <w:rPr>
      <w:rFonts w:eastAsiaTheme="minorEastAsia"/>
      <w:sz w:val="20"/>
      <w:szCs w:val="20"/>
      <w:lang w:val="en-GB" w:eastAsia="en-GB"/>
    </w:rPr>
  </w:style>
  <w:style w:type="character" w:styleId="EndnoteReference">
    <w:name w:val="endnote reference"/>
    <w:basedOn w:val="DefaultParagraphFont"/>
    <w:uiPriority w:val="99"/>
    <w:semiHidden/>
    <w:unhideWhenUsed/>
    <w:rsid w:val="00CD4514"/>
    <w:rPr>
      <w:vertAlign w:val="superscript"/>
    </w:rPr>
  </w:style>
  <w:style w:type="character" w:customStyle="1" w:styleId="shorttext">
    <w:name w:val="short_text"/>
    <w:basedOn w:val="DefaultParagraphFont"/>
    <w:rsid w:val="00CD4514"/>
  </w:style>
  <w:style w:type="paragraph" w:styleId="Caption">
    <w:name w:val="caption"/>
    <w:basedOn w:val="Normal"/>
    <w:next w:val="Normal"/>
    <w:uiPriority w:val="35"/>
    <w:unhideWhenUsed/>
    <w:qFormat/>
    <w:rsid w:val="00CD4514"/>
    <w:pPr>
      <w:spacing w:line="240" w:lineRule="auto"/>
    </w:pPr>
    <w:rPr>
      <w:b/>
      <w:bCs/>
      <w:color w:val="4F81BD" w:themeColor="accent1"/>
      <w:sz w:val="18"/>
      <w:szCs w:val="18"/>
    </w:rPr>
  </w:style>
  <w:style w:type="character" w:customStyle="1" w:styleId="tlid-translation">
    <w:name w:val="tlid-translation"/>
    <w:basedOn w:val="DefaultParagraphFont"/>
    <w:rsid w:val="00CD4514"/>
  </w:style>
  <w:style w:type="paragraph" w:styleId="HTMLPreformatted">
    <w:name w:val="HTML Preformatted"/>
    <w:basedOn w:val="Normal"/>
    <w:link w:val="HTMLPreformattedChar"/>
    <w:uiPriority w:val="99"/>
    <w:unhideWhenUsed/>
    <w:rsid w:val="00CD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CD451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chart" Target="charts/chart3.xml"/><Relationship Id="rId26" Type="http://schemas.openxmlformats.org/officeDocument/2006/relationships/diagramLayout" Target="diagrams/layout1.xml"/><Relationship Id="rId39" Type="http://schemas.openxmlformats.org/officeDocument/2006/relationships/diagramQuickStyle" Target="diagrams/quickStyle2.xml"/><Relationship Id="rId21" Type="http://schemas.openxmlformats.org/officeDocument/2006/relationships/chart" Target="charts/chart6.xml"/><Relationship Id="rId34" Type="http://schemas.openxmlformats.org/officeDocument/2006/relationships/chart" Target="charts/chart13.xml"/><Relationship Id="rId42" Type="http://schemas.openxmlformats.org/officeDocument/2006/relationships/diagramData" Target="diagrams/data3.xml"/><Relationship Id="rId47" Type="http://schemas.openxmlformats.org/officeDocument/2006/relationships/chart" Target="charts/chart16.xml"/><Relationship Id="rId50" Type="http://schemas.openxmlformats.org/officeDocument/2006/relationships/diagramData" Target="diagrams/data4.xml"/><Relationship Id="rId55" Type="http://schemas.openxmlformats.org/officeDocument/2006/relationships/diagramData" Target="diagrams/data5.xml"/><Relationship Id="rId63" Type="http://schemas.openxmlformats.org/officeDocument/2006/relationships/diagramColors" Target="diagrams/colors6.xml"/><Relationship Id="rId68" Type="http://schemas.openxmlformats.org/officeDocument/2006/relationships/chart" Target="charts/chart2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image" Target="media/image6.gif"/><Relationship Id="rId32" Type="http://schemas.openxmlformats.org/officeDocument/2006/relationships/chart" Target="charts/chart11.xml"/><Relationship Id="rId37" Type="http://schemas.openxmlformats.org/officeDocument/2006/relationships/diagramData" Target="diagrams/data2.xml"/><Relationship Id="rId40" Type="http://schemas.openxmlformats.org/officeDocument/2006/relationships/diagramColors" Target="diagrams/colors2.xml"/><Relationship Id="rId45" Type="http://schemas.openxmlformats.org/officeDocument/2006/relationships/diagramColors" Target="diagrams/colors3.xml"/><Relationship Id="rId53" Type="http://schemas.openxmlformats.org/officeDocument/2006/relationships/diagramColors" Target="diagrams/colors4.xml"/><Relationship Id="rId58" Type="http://schemas.openxmlformats.org/officeDocument/2006/relationships/diagramColors" Target="diagrams/colors5.xml"/><Relationship Id="rId66"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hart" Target="charts/chart8.xml"/><Relationship Id="rId28" Type="http://schemas.openxmlformats.org/officeDocument/2006/relationships/diagramColors" Target="diagrams/colors1.xml"/><Relationship Id="rId36" Type="http://schemas.openxmlformats.org/officeDocument/2006/relationships/chart" Target="charts/chart15.xml"/><Relationship Id="rId49" Type="http://schemas.openxmlformats.org/officeDocument/2006/relationships/chart" Target="charts/chart18.xml"/><Relationship Id="rId57" Type="http://schemas.openxmlformats.org/officeDocument/2006/relationships/diagramQuickStyle" Target="diagrams/quickStyle5.xml"/><Relationship Id="rId61" Type="http://schemas.openxmlformats.org/officeDocument/2006/relationships/diagramLayout" Target="diagrams/layout6.xml"/><Relationship Id="rId10" Type="http://schemas.openxmlformats.org/officeDocument/2006/relationships/image" Target="media/image3.gif"/><Relationship Id="rId19" Type="http://schemas.openxmlformats.org/officeDocument/2006/relationships/chart" Target="charts/chart4.xml"/><Relationship Id="rId31" Type="http://schemas.openxmlformats.org/officeDocument/2006/relationships/chart" Target="charts/chart10.xml"/><Relationship Id="rId44" Type="http://schemas.openxmlformats.org/officeDocument/2006/relationships/diagramQuickStyle" Target="diagrams/quickStyle3.xml"/><Relationship Id="rId52" Type="http://schemas.openxmlformats.org/officeDocument/2006/relationships/diagramQuickStyle" Target="diagrams/quickStyle4.xml"/><Relationship Id="rId60" Type="http://schemas.openxmlformats.org/officeDocument/2006/relationships/diagramData" Target="diagrams/data6.xml"/><Relationship Id="rId65" Type="http://schemas.openxmlformats.org/officeDocument/2006/relationships/chart" Target="charts/chart19.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chart" Target="charts/chart7.xml"/><Relationship Id="rId27" Type="http://schemas.openxmlformats.org/officeDocument/2006/relationships/diagramQuickStyle" Target="diagrams/quickStyle1.xml"/><Relationship Id="rId30" Type="http://schemas.openxmlformats.org/officeDocument/2006/relationships/chart" Target="charts/chart9.xml"/><Relationship Id="rId35" Type="http://schemas.openxmlformats.org/officeDocument/2006/relationships/chart" Target="charts/chart14.xml"/><Relationship Id="rId43" Type="http://schemas.openxmlformats.org/officeDocument/2006/relationships/diagramLayout" Target="diagrams/layout3.xml"/><Relationship Id="rId48" Type="http://schemas.openxmlformats.org/officeDocument/2006/relationships/chart" Target="charts/chart17.xml"/><Relationship Id="rId56" Type="http://schemas.openxmlformats.org/officeDocument/2006/relationships/diagramLayout" Target="diagrams/layout5.xml"/><Relationship Id="rId64" Type="http://schemas.microsoft.com/office/2007/relationships/diagramDrawing" Target="diagrams/drawing6.xml"/><Relationship Id="rId69" Type="http://schemas.openxmlformats.org/officeDocument/2006/relationships/chart" Target="charts/chart23.xml"/><Relationship Id="rId8" Type="http://schemas.openxmlformats.org/officeDocument/2006/relationships/image" Target="media/image1.jpeg"/><Relationship Id="rId51" Type="http://schemas.openxmlformats.org/officeDocument/2006/relationships/diagramLayout" Target="diagrams/layout4.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chart" Target="charts/chart2.xml"/><Relationship Id="rId25" Type="http://schemas.openxmlformats.org/officeDocument/2006/relationships/diagramData" Target="diagrams/data1.xml"/><Relationship Id="rId33" Type="http://schemas.openxmlformats.org/officeDocument/2006/relationships/chart" Target="charts/chart12.xml"/><Relationship Id="rId38" Type="http://schemas.openxmlformats.org/officeDocument/2006/relationships/diagramLayout" Target="diagrams/layout2.xml"/><Relationship Id="rId46" Type="http://schemas.microsoft.com/office/2007/relationships/diagramDrawing" Target="diagrams/drawing3.xml"/><Relationship Id="rId59" Type="http://schemas.microsoft.com/office/2007/relationships/diagramDrawing" Target="diagrams/drawing5.xml"/><Relationship Id="rId67" Type="http://schemas.openxmlformats.org/officeDocument/2006/relationships/chart" Target="charts/chart21.xml"/><Relationship Id="rId20" Type="http://schemas.openxmlformats.org/officeDocument/2006/relationships/chart" Target="charts/chart5.xml"/><Relationship Id="rId41" Type="http://schemas.microsoft.com/office/2007/relationships/diagramDrawing" Target="diagrams/drawing2.xml"/><Relationship Id="rId54" Type="http://schemas.microsoft.com/office/2007/relationships/diagramDrawing" Target="diagrams/drawing4.xml"/><Relationship Id="rId62" Type="http://schemas.openxmlformats.org/officeDocument/2006/relationships/diagramQuickStyle" Target="diagrams/quickStyle6.xml"/><Relationship Id="rId70" Type="http://schemas.openxmlformats.org/officeDocument/2006/relationships/chart" Target="charts/chart2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Microsoft_Office_Excel_Worksheet2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256608692620981"/>
          <c:y val="0.11505111860453998"/>
          <c:w val="0.82987551867221065"/>
          <c:h val="0.68053080328924154"/>
        </c:manualLayout>
      </c:layout>
      <c:lineChart>
        <c:grouping val="standard"/>
        <c:ser>
          <c:idx val="0"/>
          <c:order val="0"/>
          <c:tx>
            <c:strRef>
              <c:f>Sheet1!$B$2</c:f>
              <c:strCache>
                <c:ptCount val="1"/>
                <c:pt idx="0">
                  <c:v>Palestine</c:v>
                </c:pt>
              </c:strCache>
            </c:strRef>
          </c:tx>
          <c:spPr>
            <a:ln w="25400">
              <a:prstDash val="solid"/>
            </a:ln>
          </c:spPr>
          <c:marker>
            <c:symbol val="square"/>
            <c:size val="7"/>
            <c:spPr>
              <a:ln w="12700"/>
            </c:spPr>
          </c:marker>
          <c:dLbls>
            <c:dLbl>
              <c:idx val="0"/>
              <c:layout>
                <c:manualLayout>
                  <c:x val="-5.0044357498691995E-2"/>
                  <c:y val="-5.6306306306307084E-2"/>
                </c:manualLayout>
              </c:layout>
              <c:showVal val="1"/>
            </c:dLbl>
            <c:dLbl>
              <c:idx val="5"/>
              <c:layout>
                <c:manualLayout>
                  <c:x val="-1.4274941690195196E-4"/>
                  <c:y val="-2.9649281225168005E-2"/>
                </c:manualLayout>
              </c:layout>
              <c:showVal val="1"/>
            </c:dLbl>
            <c:delete val="1"/>
            <c:txPr>
              <a:bodyPr/>
              <a:lstStyle/>
              <a:p>
                <a:pPr>
                  <a:defRPr sz="900">
                    <a:latin typeface="Arial" pitchFamily="34" charset="0"/>
                    <a:cs typeface="Arial" pitchFamily="34" charset="0"/>
                  </a:defRPr>
                </a:pPr>
                <a:endParaRPr lang="en-US"/>
              </a:p>
            </c:txPr>
          </c:dLbls>
          <c:cat>
            <c:numRef>
              <c:f>Sheet1!$A$7:$A$12</c:f>
              <c:numCache>
                <c:formatCode>General</c:formatCode>
                <c:ptCount val="6"/>
                <c:pt idx="0">
                  <c:v>2013</c:v>
                </c:pt>
                <c:pt idx="1">
                  <c:v>2014</c:v>
                </c:pt>
                <c:pt idx="2">
                  <c:v>2015</c:v>
                </c:pt>
                <c:pt idx="3">
                  <c:v>2016</c:v>
                </c:pt>
                <c:pt idx="4">
                  <c:v>2017</c:v>
                </c:pt>
                <c:pt idx="5">
                  <c:v>2018</c:v>
                </c:pt>
              </c:numCache>
            </c:numRef>
          </c:cat>
          <c:val>
            <c:numRef>
              <c:f>Sheet1!$B$7:$B$12</c:f>
              <c:numCache>
                <c:formatCode>#,##0.0</c:formatCode>
                <c:ptCount val="6"/>
                <c:pt idx="0">
                  <c:v>12275.2</c:v>
                </c:pt>
                <c:pt idx="1">
                  <c:v>12252.9</c:v>
                </c:pt>
                <c:pt idx="2">
                  <c:v>12673</c:v>
                </c:pt>
                <c:pt idx="3">
                  <c:v>13269.7</c:v>
                </c:pt>
                <c:pt idx="4">
                  <c:v>13686.4</c:v>
                </c:pt>
                <c:pt idx="5">
                  <c:v>13810.3</c:v>
                </c:pt>
              </c:numCache>
            </c:numRef>
          </c:val>
        </c:ser>
        <c:ser>
          <c:idx val="1"/>
          <c:order val="1"/>
          <c:tx>
            <c:strRef>
              <c:f>Sheet1!$C$2</c:f>
              <c:strCache>
                <c:ptCount val="1"/>
                <c:pt idx="0">
                  <c:v>West Bank</c:v>
                </c:pt>
              </c:strCache>
            </c:strRef>
          </c:tx>
          <c:spPr>
            <a:ln w="25400"/>
          </c:spPr>
          <c:marker>
            <c:symbol val="triangle"/>
            <c:size val="7"/>
            <c:spPr>
              <a:ln w="12700"/>
            </c:spPr>
          </c:marker>
          <c:dLbls>
            <c:dLbl>
              <c:idx val="0"/>
              <c:layout>
                <c:manualLayout>
                  <c:x val="-5.2319101021359907E-2"/>
                  <c:y val="4.0950040950042524E-2"/>
                </c:manualLayout>
              </c:layout>
              <c:showVal val="1"/>
            </c:dLbl>
            <c:dLbl>
              <c:idx val="5"/>
              <c:layout>
                <c:manualLayout>
                  <c:x val="-4.5494870453356524E-3"/>
                  <c:y val="5.1187551187551188E-2"/>
                </c:manualLayout>
              </c:layout>
              <c:showVal val="1"/>
            </c:dLbl>
            <c:delete val="1"/>
            <c:txPr>
              <a:bodyPr/>
              <a:lstStyle/>
              <a:p>
                <a:pPr>
                  <a:defRPr sz="900">
                    <a:latin typeface="Arial" pitchFamily="34" charset="0"/>
                    <a:cs typeface="Arial" pitchFamily="34" charset="0"/>
                  </a:defRPr>
                </a:pPr>
                <a:endParaRPr lang="en-US"/>
              </a:p>
            </c:txPr>
          </c:dLbls>
          <c:cat>
            <c:numRef>
              <c:f>Sheet1!$A$7:$A$12</c:f>
              <c:numCache>
                <c:formatCode>General</c:formatCode>
                <c:ptCount val="6"/>
                <c:pt idx="0">
                  <c:v>2013</c:v>
                </c:pt>
                <c:pt idx="1">
                  <c:v>2014</c:v>
                </c:pt>
                <c:pt idx="2">
                  <c:v>2015</c:v>
                </c:pt>
                <c:pt idx="3">
                  <c:v>2016</c:v>
                </c:pt>
                <c:pt idx="4">
                  <c:v>2017</c:v>
                </c:pt>
                <c:pt idx="5">
                  <c:v>2018</c:v>
                </c:pt>
              </c:numCache>
            </c:numRef>
          </c:cat>
          <c:val>
            <c:numRef>
              <c:f>Sheet1!$C$7:$C$12</c:f>
              <c:numCache>
                <c:formatCode>#,##0.0</c:formatCode>
                <c:ptCount val="6"/>
                <c:pt idx="0">
                  <c:v>8825.4</c:v>
                </c:pt>
                <c:pt idx="1">
                  <c:v>9293.7000000000007</c:v>
                </c:pt>
                <c:pt idx="2">
                  <c:v>9538.9</c:v>
                </c:pt>
                <c:pt idx="3">
                  <c:v>9874.1</c:v>
                </c:pt>
                <c:pt idx="4">
                  <c:v>10715.9</c:v>
                </c:pt>
                <c:pt idx="5">
                  <c:v>11043.4</c:v>
                </c:pt>
              </c:numCache>
            </c:numRef>
          </c:val>
        </c:ser>
        <c:ser>
          <c:idx val="2"/>
          <c:order val="2"/>
          <c:tx>
            <c:strRef>
              <c:f>Sheet1!$D$2</c:f>
              <c:strCache>
                <c:ptCount val="1"/>
                <c:pt idx="0">
                  <c:v>Gaza Strip</c:v>
                </c:pt>
              </c:strCache>
            </c:strRef>
          </c:tx>
          <c:spPr>
            <a:ln w="25400">
              <a:prstDash val="solid"/>
            </a:ln>
          </c:spPr>
          <c:marker>
            <c:symbol val="circle"/>
            <c:size val="7"/>
            <c:spPr>
              <a:ln w="12700"/>
            </c:spPr>
          </c:marker>
          <c:dLbls>
            <c:dLbl>
              <c:idx val="0"/>
              <c:layout>
                <c:manualLayout>
                  <c:x val="-4.7769613976032348E-2"/>
                  <c:y val="4.0950040950042524E-2"/>
                </c:manualLayout>
              </c:layout>
              <c:showVal val="1"/>
            </c:dLbl>
            <c:dLbl>
              <c:idx val="5"/>
              <c:layout>
                <c:manualLayout>
                  <c:x val="-1.1373717613339641E-2"/>
                  <c:y val="4.6068796068796124E-2"/>
                </c:manualLayout>
              </c:layout>
              <c:showVal val="1"/>
            </c:dLbl>
            <c:delete val="1"/>
            <c:txPr>
              <a:bodyPr/>
              <a:lstStyle/>
              <a:p>
                <a:pPr>
                  <a:defRPr sz="900">
                    <a:latin typeface="Arial" pitchFamily="34" charset="0"/>
                    <a:cs typeface="Arial" pitchFamily="34" charset="0"/>
                  </a:defRPr>
                </a:pPr>
                <a:endParaRPr lang="en-US"/>
              </a:p>
            </c:txPr>
          </c:dLbls>
          <c:cat>
            <c:numRef>
              <c:f>Sheet1!$A$7:$A$12</c:f>
              <c:numCache>
                <c:formatCode>General</c:formatCode>
                <c:ptCount val="6"/>
                <c:pt idx="0">
                  <c:v>2013</c:v>
                </c:pt>
                <c:pt idx="1">
                  <c:v>2014</c:v>
                </c:pt>
                <c:pt idx="2">
                  <c:v>2015</c:v>
                </c:pt>
                <c:pt idx="3">
                  <c:v>2016</c:v>
                </c:pt>
                <c:pt idx="4">
                  <c:v>2017</c:v>
                </c:pt>
                <c:pt idx="5">
                  <c:v>2018</c:v>
                </c:pt>
              </c:numCache>
            </c:numRef>
          </c:cat>
          <c:val>
            <c:numRef>
              <c:f>Sheet1!$D$7:$D$12</c:f>
              <c:numCache>
                <c:formatCode>#,##0.0</c:formatCode>
                <c:ptCount val="6"/>
                <c:pt idx="0">
                  <c:v>3478.9</c:v>
                </c:pt>
                <c:pt idx="1">
                  <c:v>2954.2</c:v>
                </c:pt>
                <c:pt idx="2">
                  <c:v>3134.1</c:v>
                </c:pt>
                <c:pt idx="3">
                  <c:v>3395.6</c:v>
                </c:pt>
                <c:pt idx="4">
                  <c:v>2970.5</c:v>
                </c:pt>
                <c:pt idx="5">
                  <c:v>2766.9</c:v>
                </c:pt>
              </c:numCache>
            </c:numRef>
          </c:val>
        </c:ser>
        <c:marker val="1"/>
        <c:axId val="140461952"/>
        <c:axId val="140468224"/>
      </c:lineChart>
      <c:catAx>
        <c:axId val="140461952"/>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50856360160861458"/>
              <c:y val="0.89783330685956553"/>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40468224"/>
        <c:crosses val="autoZero"/>
        <c:auto val="1"/>
        <c:lblAlgn val="ctr"/>
        <c:lblOffset val="100"/>
        <c:tickLblSkip val="1"/>
        <c:tickMarkSkip val="1"/>
      </c:catAx>
      <c:valAx>
        <c:axId val="140468224"/>
        <c:scaling>
          <c:orientation val="minMax"/>
          <c:max val="15000"/>
          <c:min val="0"/>
        </c:scaling>
        <c:axPos val="l"/>
        <c:title>
          <c:tx>
            <c:rich>
              <a:bodyPr/>
              <a:lstStyle/>
              <a:p>
                <a:pPr>
                  <a:defRPr/>
                </a:pPr>
                <a:r>
                  <a:rPr lang="en-US" sz="900" b="1" i="0" u="none" strike="noStrike" baseline="0">
                    <a:latin typeface="Arial" pitchFamily="34" charset="0"/>
                    <a:cs typeface="Arial" pitchFamily="34" charset="0"/>
                  </a:rPr>
                  <a:t>USD Million</a:t>
                </a:r>
                <a:endParaRPr lang="en-US"/>
              </a:p>
            </c:rich>
          </c:tx>
          <c:layout>
            <c:manualLayout>
              <c:xMode val="edge"/>
              <c:yMode val="edge"/>
              <c:x val="1.3048067085273759E-2"/>
              <c:y val="0.25113464306671279"/>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40461952"/>
        <c:crosses val="autoZero"/>
        <c:crossBetween val="between"/>
        <c:majorUnit val="3000"/>
        <c:minorUnit val="500"/>
      </c:valAx>
    </c:plotArea>
    <c:legend>
      <c:legendPos val="r"/>
      <c:layout>
        <c:manualLayout>
          <c:xMode val="edge"/>
          <c:yMode val="edge"/>
          <c:x val="0.32411616500282536"/>
          <c:y val="2.3812578807924412E-2"/>
          <c:w val="0.60784762865254571"/>
          <c:h val="7.3640087367069271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spPr>
    <a:ln w="12700">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13179343132741844"/>
          <c:y val="0.2246629033740413"/>
          <c:w val="0.83391675833219225"/>
          <c:h val="0.62480740850790062"/>
        </c:manualLayout>
      </c:layout>
      <c:barChart>
        <c:barDir val="col"/>
        <c:grouping val="stacked"/>
        <c:ser>
          <c:idx val="1"/>
          <c:order val="0"/>
          <c:tx>
            <c:strRef>
              <c:f>'Rep 2017'!$B$2</c:f>
              <c:strCache>
                <c:ptCount val="1"/>
                <c:pt idx="0">
                  <c:v>Clearance Revenues</c:v>
                </c:pt>
              </c:strCache>
            </c:strRef>
          </c:tx>
          <c:spPr>
            <a:solidFill>
              <a:schemeClr val="accent1"/>
            </a:solidFill>
            <a:ln>
              <a:solidFill>
                <a:schemeClr val="tx2">
                  <a:lumMod val="60000"/>
                  <a:lumOff val="40000"/>
                </a:schemeClr>
              </a:solidFill>
            </a:ln>
          </c:spPr>
          <c:cat>
            <c:numRef>
              <c:f>'Rep 2017'!$A$7:$A$12</c:f>
              <c:numCache>
                <c:formatCode>General</c:formatCode>
                <c:ptCount val="6"/>
                <c:pt idx="0">
                  <c:v>2013</c:v>
                </c:pt>
                <c:pt idx="1">
                  <c:v>2014</c:v>
                </c:pt>
                <c:pt idx="2">
                  <c:v>2015</c:v>
                </c:pt>
                <c:pt idx="3">
                  <c:v>2016</c:v>
                </c:pt>
                <c:pt idx="4">
                  <c:v>2017</c:v>
                </c:pt>
                <c:pt idx="5">
                  <c:v>2018</c:v>
                </c:pt>
              </c:numCache>
            </c:numRef>
          </c:cat>
          <c:val>
            <c:numRef>
              <c:f>'Rep 2017'!$B$7:$B$12</c:f>
              <c:numCache>
                <c:formatCode>#,##0.0</c:formatCode>
                <c:ptCount val="6"/>
                <c:pt idx="0">
                  <c:v>1690.5</c:v>
                </c:pt>
                <c:pt idx="1">
                  <c:v>2053.5</c:v>
                </c:pt>
                <c:pt idx="2">
                  <c:v>2053.5</c:v>
                </c:pt>
                <c:pt idx="3" formatCode="0.0">
                  <c:v>2337.6999999999998</c:v>
                </c:pt>
                <c:pt idx="4">
                  <c:v>2416.1</c:v>
                </c:pt>
                <c:pt idx="5">
                  <c:v>2255</c:v>
                </c:pt>
              </c:numCache>
            </c:numRef>
          </c:val>
        </c:ser>
        <c:ser>
          <c:idx val="0"/>
          <c:order val="1"/>
          <c:tx>
            <c:strRef>
              <c:f>'Rep 2017'!$C$2</c:f>
              <c:strCache>
                <c:ptCount val="1"/>
                <c:pt idx="0">
                  <c:v>Tax Revenues</c:v>
                </c:pt>
              </c:strCache>
            </c:strRef>
          </c:tx>
          <c:spPr>
            <a:solidFill>
              <a:schemeClr val="accent2"/>
            </a:solidFill>
          </c:spPr>
          <c:cat>
            <c:numRef>
              <c:f>'Rep 2017'!$A$7:$A$12</c:f>
              <c:numCache>
                <c:formatCode>General</c:formatCode>
                <c:ptCount val="6"/>
                <c:pt idx="0">
                  <c:v>2013</c:v>
                </c:pt>
                <c:pt idx="1">
                  <c:v>2014</c:v>
                </c:pt>
                <c:pt idx="2">
                  <c:v>2015</c:v>
                </c:pt>
                <c:pt idx="3">
                  <c:v>2016</c:v>
                </c:pt>
                <c:pt idx="4">
                  <c:v>2017</c:v>
                </c:pt>
                <c:pt idx="5">
                  <c:v>2018</c:v>
                </c:pt>
              </c:numCache>
            </c:numRef>
          </c:cat>
          <c:val>
            <c:numRef>
              <c:f>'Rep 2017'!$C$7:$C$12</c:f>
              <c:numCache>
                <c:formatCode>0.0</c:formatCode>
                <c:ptCount val="6"/>
                <c:pt idx="0">
                  <c:v>597.6</c:v>
                </c:pt>
                <c:pt idx="1">
                  <c:v>601.9</c:v>
                </c:pt>
                <c:pt idx="2">
                  <c:v>605.20000000000005</c:v>
                </c:pt>
                <c:pt idx="3">
                  <c:v>625.9</c:v>
                </c:pt>
                <c:pt idx="4" formatCode="#,##0.0">
                  <c:v>761.9</c:v>
                </c:pt>
                <c:pt idx="5" formatCode="#,##0.0">
                  <c:v>839.6</c:v>
                </c:pt>
              </c:numCache>
            </c:numRef>
          </c:val>
        </c:ser>
        <c:ser>
          <c:idx val="2"/>
          <c:order val="2"/>
          <c:tx>
            <c:strRef>
              <c:f>'Rep 2017'!$D$2</c:f>
              <c:strCache>
                <c:ptCount val="1"/>
                <c:pt idx="0">
                  <c:v>Nontax Revenues </c:v>
                </c:pt>
              </c:strCache>
            </c:strRef>
          </c:tx>
          <c:cat>
            <c:numRef>
              <c:f>'Rep 2017'!$A$7:$A$12</c:f>
              <c:numCache>
                <c:formatCode>General</c:formatCode>
                <c:ptCount val="6"/>
                <c:pt idx="0">
                  <c:v>2013</c:v>
                </c:pt>
                <c:pt idx="1">
                  <c:v>2014</c:v>
                </c:pt>
                <c:pt idx="2">
                  <c:v>2015</c:v>
                </c:pt>
                <c:pt idx="3">
                  <c:v>2016</c:v>
                </c:pt>
                <c:pt idx="4">
                  <c:v>2017</c:v>
                </c:pt>
                <c:pt idx="5">
                  <c:v>2018</c:v>
                </c:pt>
              </c:numCache>
            </c:numRef>
          </c:cat>
          <c:val>
            <c:numRef>
              <c:f>'Rep 2017'!$D$7:$D$12</c:f>
              <c:numCache>
                <c:formatCode>0.0</c:formatCode>
                <c:ptCount val="6"/>
                <c:pt idx="0">
                  <c:v>255.2</c:v>
                </c:pt>
                <c:pt idx="1">
                  <c:v>270.5</c:v>
                </c:pt>
                <c:pt idx="2">
                  <c:v>249</c:v>
                </c:pt>
                <c:pt idx="3" formatCode="General">
                  <c:v>604.5</c:v>
                </c:pt>
                <c:pt idx="4" formatCode="General">
                  <c:v>388.9</c:v>
                </c:pt>
                <c:pt idx="5" formatCode="General">
                  <c:v>432.8</c:v>
                </c:pt>
              </c:numCache>
            </c:numRef>
          </c:val>
        </c:ser>
        <c:ser>
          <c:idx val="3"/>
          <c:order val="3"/>
          <c:tx>
            <c:strRef>
              <c:f>'Rep 2017'!$E$2</c:f>
              <c:strCache>
                <c:ptCount val="1"/>
                <c:pt idx="0">
                  <c:v>Earmarked Collections</c:v>
                </c:pt>
              </c:strCache>
            </c:strRef>
          </c:tx>
          <c:cat>
            <c:numRef>
              <c:f>'Rep 2017'!$A$7:$A$12</c:f>
              <c:numCache>
                <c:formatCode>General</c:formatCode>
                <c:ptCount val="6"/>
                <c:pt idx="0">
                  <c:v>2013</c:v>
                </c:pt>
                <c:pt idx="1">
                  <c:v>2014</c:v>
                </c:pt>
                <c:pt idx="2">
                  <c:v>2015</c:v>
                </c:pt>
                <c:pt idx="3">
                  <c:v>2016</c:v>
                </c:pt>
                <c:pt idx="4">
                  <c:v>2017</c:v>
                </c:pt>
                <c:pt idx="5">
                  <c:v>2018</c:v>
                </c:pt>
              </c:numCache>
            </c:numRef>
          </c:cat>
          <c:val>
            <c:numRef>
              <c:f>'Rep 2017'!$E$7:$E$12</c:f>
              <c:numCache>
                <c:formatCode>0.0</c:formatCode>
                <c:ptCount val="6"/>
                <c:pt idx="0">
                  <c:v>0</c:v>
                </c:pt>
                <c:pt idx="1">
                  <c:v>60.2</c:v>
                </c:pt>
                <c:pt idx="2">
                  <c:v>56.5</c:v>
                </c:pt>
                <c:pt idx="3">
                  <c:v>84.6</c:v>
                </c:pt>
                <c:pt idx="4" formatCode="General">
                  <c:v>73.3</c:v>
                </c:pt>
                <c:pt idx="5" formatCode="General">
                  <c:v>76.900000000000006</c:v>
                </c:pt>
              </c:numCache>
            </c:numRef>
          </c:val>
        </c:ser>
        <c:gapWidth val="219"/>
        <c:overlap val="100"/>
        <c:axId val="144061184"/>
        <c:axId val="144063104"/>
      </c:barChart>
      <c:catAx>
        <c:axId val="144061184"/>
        <c:scaling>
          <c:orientation val="minMax"/>
        </c:scaling>
        <c:axPos val="b"/>
        <c:title>
          <c:tx>
            <c:rich>
              <a:bodyPr/>
              <a:lstStyle/>
              <a:p>
                <a:pPr>
                  <a:defRPr/>
                </a:pPr>
                <a:r>
                  <a:rPr lang="en-GB"/>
                  <a:t>Year</a:t>
                </a:r>
              </a:p>
            </c:rich>
          </c:tx>
          <c:layout>
            <c:manualLayout>
              <c:xMode val="edge"/>
              <c:yMode val="edge"/>
              <c:x val="0.51719361222005333"/>
              <c:y val="0.92515463290621414"/>
            </c:manualLayout>
          </c:layout>
        </c:title>
        <c:numFmt formatCode="General" sourceLinked="1"/>
        <c:majorTickMark val="none"/>
        <c:tickLblPos val="nextTo"/>
        <c:txPr>
          <a:bodyPr rot="0" vert="horz"/>
          <a:lstStyle/>
          <a:p>
            <a:pPr>
              <a:defRPr/>
            </a:pPr>
            <a:endParaRPr lang="en-US"/>
          </a:p>
        </c:txPr>
        <c:crossAx val="144063104"/>
        <c:crosses val="autoZero"/>
        <c:auto val="1"/>
        <c:lblAlgn val="ctr"/>
        <c:lblOffset val="100"/>
        <c:tickLblSkip val="1"/>
        <c:tickMarkSkip val="1"/>
      </c:catAx>
      <c:valAx>
        <c:axId val="144063104"/>
        <c:scaling>
          <c:orientation val="minMax"/>
        </c:scaling>
        <c:axPos val="l"/>
        <c:title>
          <c:tx>
            <c:rich>
              <a:bodyPr/>
              <a:lstStyle/>
              <a:p>
                <a:pPr>
                  <a:defRPr/>
                </a:pPr>
                <a:r>
                  <a:rPr lang="en-GB"/>
                  <a:t>USD Million</a:t>
                </a:r>
              </a:p>
            </c:rich>
          </c:tx>
          <c:layout>
            <c:manualLayout>
              <c:xMode val="edge"/>
              <c:yMode val="edge"/>
              <c:x val="1.5743510318141227E-2"/>
              <c:y val="0.43961490860920688"/>
            </c:manualLayout>
          </c:layout>
        </c:title>
        <c:numFmt formatCode="#,##0" sourceLinked="0"/>
        <c:tickLblPos val="nextTo"/>
        <c:txPr>
          <a:bodyPr rot="0" vert="horz"/>
          <a:lstStyle/>
          <a:p>
            <a:pPr>
              <a:defRPr/>
            </a:pPr>
            <a:endParaRPr lang="en-US"/>
          </a:p>
        </c:txPr>
        <c:crossAx val="144061184"/>
        <c:crosses val="autoZero"/>
        <c:crossBetween val="between"/>
      </c:valAx>
      <c:spPr>
        <a:ln>
          <a:noFill/>
        </a:ln>
      </c:spPr>
    </c:plotArea>
    <c:legend>
      <c:legendPos val="b"/>
      <c:layout>
        <c:manualLayout>
          <c:xMode val="edge"/>
          <c:yMode val="edge"/>
          <c:x val="4.0699961438709784E-2"/>
          <c:y val="3.262027023011644E-2"/>
          <c:w val="0.8999999093169001"/>
          <c:h val="9.0312088347447167E-2"/>
        </c:manualLayout>
      </c:layout>
      <c:spPr>
        <a:ln>
          <a:solidFill>
            <a:schemeClr val="tx1"/>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roundedCorners val="1"/>
  <c:style val="3"/>
  <c:chart>
    <c:autoTitleDeleted val="1"/>
    <c:plotArea>
      <c:layout>
        <c:manualLayout>
          <c:layoutTarget val="inner"/>
          <c:xMode val="edge"/>
          <c:yMode val="edge"/>
          <c:x val="0.14799752165644944"/>
          <c:y val="8.6601435849930533E-2"/>
          <c:w val="0.83200463215700193"/>
          <c:h val="0.69788829705111965"/>
        </c:manualLayout>
      </c:layout>
      <c:lineChart>
        <c:grouping val="standard"/>
        <c:ser>
          <c:idx val="0"/>
          <c:order val="0"/>
          <c:tx>
            <c:strRef>
              <c:f>'Rep 2017'!$B$1</c:f>
              <c:strCache>
                <c:ptCount val="1"/>
                <c:pt idx="0">
                  <c:v>external suport</c:v>
                </c:pt>
              </c:strCache>
            </c:strRef>
          </c:tx>
          <c:dLbls>
            <c:dLbl>
              <c:idx val="0"/>
              <c:layout>
                <c:manualLayout>
                  <c:x val="-5.2824468370025177E-2"/>
                  <c:y val="-8.7246914265939182E-2"/>
                </c:manualLayout>
              </c:layout>
              <c:dLblPos val="r"/>
              <c:showVal val="1"/>
            </c:dLbl>
            <c:dLbl>
              <c:idx val="5"/>
              <c:layout>
                <c:manualLayout>
                  <c:x val="-5.2154195011337882E-2"/>
                  <c:y val="-5.9685295713510583E-2"/>
                </c:manualLayout>
              </c:layout>
              <c:showVal val="1"/>
            </c:dLbl>
            <c:dLbl>
              <c:idx val="8"/>
              <c:layout>
                <c:manualLayout>
                  <c:x val="-3.8603307161391452E-2"/>
                  <c:y val="-5.4325531417053832E-2"/>
                </c:manualLayout>
              </c:layout>
              <c:showVal val="1"/>
            </c:dLbl>
            <c:dLbl>
              <c:idx val="9"/>
              <c:layout>
                <c:manualLayout>
                  <c:x val="-3.8603307161391452E-2"/>
                  <c:y val="-5.4325531417053832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'Rep 2017'!$A$6:$A$11</c:f>
              <c:numCache>
                <c:formatCode>General</c:formatCode>
                <c:ptCount val="6"/>
                <c:pt idx="0">
                  <c:v>2013</c:v>
                </c:pt>
                <c:pt idx="1">
                  <c:v>2014</c:v>
                </c:pt>
                <c:pt idx="2">
                  <c:v>2015</c:v>
                </c:pt>
                <c:pt idx="3">
                  <c:v>2016</c:v>
                </c:pt>
                <c:pt idx="4">
                  <c:v>2017</c:v>
                </c:pt>
                <c:pt idx="5">
                  <c:v>2018</c:v>
                </c:pt>
              </c:numCache>
            </c:numRef>
          </c:cat>
          <c:val>
            <c:numRef>
              <c:f>'Rep 2017'!$B$6:$B$11</c:f>
              <c:numCache>
                <c:formatCode>0.0</c:formatCode>
                <c:ptCount val="6"/>
                <c:pt idx="0">
                  <c:v>1361.5</c:v>
                </c:pt>
                <c:pt idx="1">
                  <c:v>1233.0999999999999</c:v>
                </c:pt>
                <c:pt idx="2" formatCode="General">
                  <c:v>798.1</c:v>
                </c:pt>
                <c:pt idx="3" formatCode="General">
                  <c:v>764.6</c:v>
                </c:pt>
                <c:pt idx="4">
                  <c:v>719.5</c:v>
                </c:pt>
                <c:pt idx="5" formatCode="General">
                  <c:v>675.5</c:v>
                </c:pt>
              </c:numCache>
            </c:numRef>
          </c:val>
        </c:ser>
        <c:marker val="1"/>
        <c:axId val="143960704"/>
        <c:axId val="143966976"/>
      </c:lineChart>
      <c:catAx>
        <c:axId val="14396070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0751833054548889"/>
              <c:y val="0.906389256828664"/>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43966976"/>
        <c:crosses val="autoZero"/>
        <c:auto val="1"/>
        <c:lblAlgn val="ctr"/>
        <c:lblOffset val="100"/>
        <c:tickLblSkip val="1"/>
        <c:tickMarkSkip val="1"/>
      </c:catAx>
      <c:valAx>
        <c:axId val="143966976"/>
        <c:scaling>
          <c:orientation val="minMax"/>
          <c:max val="1600"/>
          <c:min val="4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1.9877672781329781E-2"/>
              <c:y val="0.32378619520993995"/>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43960704"/>
        <c:crosses val="autoZero"/>
        <c:crossBetween val="between"/>
        <c:majorUnit val="200"/>
        <c:minorUnit val="50"/>
      </c:valAx>
    </c:plotArea>
    <c:plotVisOnly val="1"/>
    <c:dispBlanksAs val="gap"/>
  </c:chart>
  <c:spPr>
    <a:ln w="12700">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8.7962962962963548E-2"/>
          <c:y val="0.10920908771753852"/>
          <c:w val="0.81018518518518523"/>
          <c:h val="0.7688429710617386"/>
        </c:manualLayout>
      </c:layout>
      <c:pieChart>
        <c:varyColors val="1"/>
        <c:ser>
          <c:idx val="0"/>
          <c:order val="0"/>
          <c:tx>
            <c:strRef>
              <c:f>Sheet1!$B$1</c:f>
              <c:strCache>
                <c:ptCount val="1"/>
                <c:pt idx="0">
                  <c:v>Column1</c:v>
                </c:pt>
              </c:strCache>
            </c:strRef>
          </c:tx>
          <c:explosion val="25"/>
          <c:dPt>
            <c:idx val="0"/>
            <c:explosion val="7"/>
          </c:dPt>
          <c:dPt>
            <c:idx val="1"/>
            <c:explosion val="9"/>
          </c:dPt>
          <c:dPt>
            <c:idx val="3"/>
            <c:explosion val="17"/>
          </c:dPt>
          <c:dLbls>
            <c:dLbl>
              <c:idx val="0"/>
              <c:layout>
                <c:manualLayout>
                  <c:x val="8.6767267511910523E-2"/>
                  <c:y val="-0.10753574560485522"/>
                </c:manualLayout>
              </c:layout>
              <c:tx>
                <c:rich>
                  <a:bodyPr/>
                  <a:lstStyle/>
                  <a:p>
                    <a:r>
                      <a:rPr lang="en-US" sz="900">
                        <a:latin typeface="Arial" pitchFamily="34" charset="0"/>
                        <a:cs typeface="Arial" pitchFamily="34" charset="0"/>
                      </a:rPr>
                      <a:t>S</a:t>
                    </a:r>
                    <a:r>
                      <a:rPr lang="en-US" sz="900">
                        <a:cs typeface="+mn-cs"/>
                      </a:rPr>
                      <a:t>alaries and Wages43.3%</a:t>
                    </a:r>
                  </a:p>
                </c:rich>
              </c:tx>
              <c:showVal val="1"/>
              <c:showCatName val="1"/>
            </c:dLbl>
            <c:dLbl>
              <c:idx val="1"/>
              <c:layout>
                <c:manualLayout>
                  <c:x val="5.4785834062408924E-2"/>
                  <c:y val="0.20955224346956641"/>
                </c:manualLayout>
              </c:layout>
              <c:tx>
                <c:rich>
                  <a:bodyPr/>
                  <a:lstStyle/>
                  <a:p>
                    <a:r>
                      <a:rPr lang="en-US" sz="900">
                        <a:latin typeface="Arial" pitchFamily="34" charset="0"/>
                        <a:cs typeface="Arial" pitchFamily="34" charset="0"/>
                      </a:rPr>
                      <a:t>N</a:t>
                    </a:r>
                    <a:r>
                      <a:rPr lang="en-US" sz="900">
                        <a:cs typeface="+mn-cs"/>
                      </a:rPr>
                      <a:t>on Wages</a:t>
                    </a:r>
                    <a:r>
                      <a:rPr lang="en-US" sz="900" baseline="0">
                        <a:cs typeface="+mn-cs"/>
                      </a:rPr>
                      <a:t> </a:t>
                    </a:r>
                    <a:r>
                      <a:rPr lang="en-US" sz="900">
                        <a:cs typeface="+mn-cs"/>
                      </a:rPr>
                      <a:t>48.3%</a:t>
                    </a:r>
                  </a:p>
                </c:rich>
              </c:tx>
              <c:showVal val="1"/>
              <c:showCatName val="1"/>
            </c:dLbl>
            <c:dLbl>
              <c:idx val="2"/>
              <c:layout>
                <c:manualLayout>
                  <c:x val="-7.9948600174978124E-2"/>
                  <c:y val="-1.0648981377327841E-2"/>
                </c:manualLayout>
              </c:layout>
              <c:tx>
                <c:rich>
                  <a:bodyPr/>
                  <a:lstStyle/>
                  <a:p>
                    <a:r>
                      <a:rPr lang="en-US" sz="900">
                        <a:latin typeface="Arial" pitchFamily="34" charset="0"/>
                        <a:cs typeface="Arial" pitchFamily="34" charset="0"/>
                      </a:rPr>
                      <a:t>N</a:t>
                    </a:r>
                    <a:r>
                      <a:rPr lang="en-US" sz="900">
                        <a:cs typeface="+mn-cs"/>
                      </a:rPr>
                      <a:t>et Lending 1.9%</a:t>
                    </a:r>
                  </a:p>
                </c:rich>
              </c:tx>
              <c:showVal val="1"/>
              <c:showCatName val="1"/>
            </c:dLbl>
            <c:dLbl>
              <c:idx val="3"/>
              <c:layout>
                <c:manualLayout>
                  <c:x val="0.18371204042401706"/>
                  <c:y val="-7.3525228813732524E-4"/>
                </c:manualLayout>
              </c:layout>
              <c:tx>
                <c:rich>
                  <a:bodyPr/>
                  <a:lstStyle/>
                  <a:p>
                    <a:r>
                      <a:rPr lang="en-US" sz="900">
                        <a:latin typeface="Arial" pitchFamily="34" charset="0"/>
                        <a:cs typeface="Arial" pitchFamily="34" charset="0"/>
                      </a:rPr>
                      <a:t>E</a:t>
                    </a:r>
                    <a:r>
                      <a:rPr lang="en-US" sz="900">
                        <a:cs typeface="+mn-cs"/>
                      </a:rPr>
                      <a:t>armarked payments 6.5%</a:t>
                    </a:r>
                  </a:p>
                </c:rich>
              </c:tx>
              <c:showVal val="1"/>
              <c:showCatName val="1"/>
            </c:dLbl>
            <c:txPr>
              <a:bodyPr/>
              <a:lstStyle/>
              <a:p>
                <a:pPr>
                  <a:defRPr sz="900">
                    <a:latin typeface="Arial" pitchFamily="34" charset="0"/>
                    <a:cs typeface="Arial" pitchFamily="34" charset="0"/>
                  </a:defRPr>
                </a:pPr>
                <a:endParaRPr lang="en-US"/>
              </a:p>
            </c:txPr>
            <c:showVal val="1"/>
            <c:showCatName val="1"/>
            <c:showLeaderLines val="1"/>
          </c:dLbls>
          <c:cat>
            <c:strRef>
              <c:f>Sheet1!$A$2:$A$5</c:f>
              <c:strCache>
                <c:ptCount val="4"/>
                <c:pt idx="0">
                  <c:v>Salaries and Wages</c:v>
                </c:pt>
                <c:pt idx="1">
                  <c:v>Non Wages</c:v>
                </c:pt>
                <c:pt idx="2">
                  <c:v>Net Lending</c:v>
                </c:pt>
                <c:pt idx="3">
                  <c:v>Earmarked payments</c:v>
                </c:pt>
              </c:strCache>
            </c:strRef>
          </c:cat>
          <c:val>
            <c:numRef>
              <c:f>Sheet1!$B$2:$B$5</c:f>
              <c:numCache>
                <c:formatCode>0.0%</c:formatCode>
                <c:ptCount val="4"/>
                <c:pt idx="0">
                  <c:v>0.43316962781068646</c:v>
                </c:pt>
                <c:pt idx="1">
                  <c:v>0.48307573787857438</c:v>
                </c:pt>
                <c:pt idx="2">
                  <c:v>1.8513168664837584E-2</c:v>
                </c:pt>
                <c:pt idx="3">
                  <c:v>6.5241465645914556E-2</c:v>
                </c:pt>
              </c:numCache>
            </c:numRef>
          </c:val>
        </c:ser>
        <c:firstSliceAng val="0"/>
      </c:pieChart>
    </c:plotArea>
    <c:plotVisOnly val="1"/>
  </c:chart>
  <c:spPr>
    <a:ln w="12700">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roundedCorners val="1"/>
  <c:style val="3"/>
  <c:chart>
    <c:autoTitleDeleted val="1"/>
    <c:plotArea>
      <c:layout>
        <c:manualLayout>
          <c:layoutTarget val="inner"/>
          <c:xMode val="edge"/>
          <c:yMode val="edge"/>
          <c:x val="0.15065097967405217"/>
          <c:y val="0.1111111111111111"/>
          <c:w val="0.80890210152302389"/>
          <c:h val="0.71387930441281877"/>
        </c:manualLayout>
      </c:layout>
      <c:lineChart>
        <c:grouping val="standard"/>
        <c:ser>
          <c:idx val="0"/>
          <c:order val="0"/>
          <c:tx>
            <c:strRef>
              <c:f>'Rep 2017'!$B$1</c:f>
              <c:strCache>
                <c:ptCount val="1"/>
                <c:pt idx="0">
                  <c:v>development exp</c:v>
                </c:pt>
              </c:strCache>
            </c:strRef>
          </c:tx>
          <c:spPr>
            <a:ln w="25400"/>
          </c:spPr>
          <c:marker>
            <c:spPr>
              <a:ln w="12700"/>
            </c:spPr>
          </c:marker>
          <c:dLbls>
            <c:dLbl>
              <c:idx val="0"/>
              <c:layout>
                <c:manualLayout>
                  <c:x val="-5.9384911188428875E-2"/>
                  <c:y val="-8.9626942699582393E-2"/>
                </c:manualLayout>
              </c:layout>
              <c:showVal val="1"/>
            </c:dLbl>
            <c:dLbl>
              <c:idx val="1"/>
              <c:delete val="1"/>
            </c:dLbl>
            <c:dLbl>
              <c:idx val="2"/>
              <c:delete val="1"/>
            </c:dLbl>
            <c:dLbl>
              <c:idx val="3"/>
              <c:delete val="1"/>
            </c:dLbl>
            <c:dLbl>
              <c:idx val="4"/>
              <c:delete val="1"/>
            </c:dLbl>
            <c:dLbl>
              <c:idx val="5"/>
              <c:layout>
                <c:manualLayout>
                  <c:x val="0"/>
                  <c:y val="-3.4695614283118952E-2"/>
                </c:manualLayout>
              </c:layout>
              <c:showVal val="1"/>
            </c:dLbl>
            <c:txPr>
              <a:bodyPr/>
              <a:lstStyle/>
              <a:p>
                <a:pPr>
                  <a:defRPr sz="900">
                    <a:latin typeface="Arial" pitchFamily="34" charset="0"/>
                    <a:cs typeface="Arial" pitchFamily="34" charset="0"/>
                  </a:defRPr>
                </a:pPr>
                <a:endParaRPr lang="en-US"/>
              </a:p>
            </c:txPr>
            <c:showVal val="1"/>
          </c:dLbls>
          <c:cat>
            <c:numRef>
              <c:f>'Rep 2017'!$A$6:$A$11</c:f>
              <c:numCache>
                <c:formatCode>General</c:formatCode>
                <c:ptCount val="6"/>
                <c:pt idx="0">
                  <c:v>2013</c:v>
                </c:pt>
                <c:pt idx="1">
                  <c:v>2014</c:v>
                </c:pt>
                <c:pt idx="2">
                  <c:v>2015</c:v>
                </c:pt>
                <c:pt idx="3">
                  <c:v>2016</c:v>
                </c:pt>
                <c:pt idx="4">
                  <c:v>2017</c:v>
                </c:pt>
                <c:pt idx="5">
                  <c:v>2018</c:v>
                </c:pt>
              </c:numCache>
            </c:numRef>
          </c:cat>
          <c:val>
            <c:numRef>
              <c:f>'Rep 2017'!$B$6:$B$11</c:f>
              <c:numCache>
                <c:formatCode>0.0</c:formatCode>
                <c:ptCount val="6"/>
                <c:pt idx="0">
                  <c:v>186.6</c:v>
                </c:pt>
                <c:pt idx="1">
                  <c:v>262.60000000000002</c:v>
                </c:pt>
                <c:pt idx="2">
                  <c:v>229.6</c:v>
                </c:pt>
                <c:pt idx="3" formatCode="General">
                  <c:v>336.8</c:v>
                </c:pt>
                <c:pt idx="4">
                  <c:v>366</c:v>
                </c:pt>
                <c:pt idx="5" formatCode="General">
                  <c:v>363.6</c:v>
                </c:pt>
              </c:numCache>
            </c:numRef>
          </c:val>
        </c:ser>
        <c:marker val="1"/>
        <c:axId val="145610624"/>
        <c:axId val="145735680"/>
      </c:lineChart>
      <c:catAx>
        <c:axId val="14561062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0550485259111655"/>
              <c:y val="0.90809873484915504"/>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45735680"/>
        <c:crosses val="autoZero"/>
        <c:auto val="1"/>
        <c:lblAlgn val="ctr"/>
        <c:lblOffset val="100"/>
        <c:tickLblSkip val="1"/>
        <c:tickMarkSkip val="1"/>
      </c:catAx>
      <c:valAx>
        <c:axId val="145735680"/>
        <c:scaling>
          <c:orientation val="minMax"/>
          <c:max val="500"/>
          <c:min val="1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2.6808434659953251E-2"/>
              <c:y val="0.29428525042614923"/>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45610624"/>
        <c:crosses val="autoZero"/>
        <c:crossBetween val="between"/>
        <c:majorUnit val="100"/>
        <c:minorUnit val="50"/>
      </c:valAx>
    </c:plotArea>
    <c:plotVisOnly val="1"/>
    <c:dispBlanksAs val="gap"/>
  </c:chart>
  <c:spPr>
    <a:ln>
      <a:no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71403922118189"/>
          <c:y val="8.6949405091514137E-2"/>
          <c:w val="0.83258931621320065"/>
          <c:h val="0.75554522734841156"/>
        </c:manualLayout>
      </c:layout>
      <c:lineChart>
        <c:grouping val="standard"/>
        <c:ser>
          <c:idx val="0"/>
          <c:order val="0"/>
          <c:tx>
            <c:strRef>
              <c:f>'2017'!$B$1</c:f>
              <c:strCache>
                <c:ptCount val="1"/>
                <c:pt idx="0">
                  <c:v>Total Domestic Public Debt</c:v>
                </c:pt>
              </c:strCache>
            </c:strRef>
          </c:tx>
          <c:spPr>
            <a:ln w="25400">
              <a:solidFill>
                <a:srgbClr val="C00000"/>
              </a:solidFill>
            </a:ln>
          </c:spPr>
          <c:marker>
            <c:symbol val="triangle"/>
            <c:size val="7"/>
            <c:spPr>
              <a:solidFill>
                <a:schemeClr val="accent2"/>
              </a:solidFill>
              <a:ln w="12700">
                <a:solidFill>
                  <a:srgbClr val="C00000"/>
                </a:solidFill>
              </a:ln>
            </c:spPr>
          </c:marker>
          <c:dLbls>
            <c:dLbl>
              <c:idx val="0"/>
              <c:layout>
                <c:manualLayout>
                  <c:x val="-6.0066740823145635E-2"/>
                  <c:y val="-3.367003367003369E-2"/>
                </c:manualLayout>
              </c:layout>
              <c:showVal val="1"/>
            </c:dLbl>
            <c:dLbl>
              <c:idx val="1"/>
              <c:delete val="1"/>
            </c:dLbl>
            <c:dLbl>
              <c:idx val="2"/>
              <c:delete val="1"/>
            </c:dLbl>
            <c:dLbl>
              <c:idx val="3"/>
              <c:delete val="1"/>
            </c:dLbl>
            <c:dLbl>
              <c:idx val="4"/>
              <c:delete val="1"/>
            </c:dLbl>
            <c:dLbl>
              <c:idx val="5"/>
              <c:layout>
                <c:manualLayout>
                  <c:x val="-1.3351083183248699E-2"/>
                  <c:y val="5.6038914645328924E-2"/>
                </c:manualLayout>
              </c:layout>
              <c:showVal val="1"/>
            </c:dLbl>
            <c:showVal val="1"/>
          </c:dLbls>
          <c:cat>
            <c:numRef>
              <c:f>'2017'!$A$6:$A$11</c:f>
              <c:numCache>
                <c:formatCode>General</c:formatCode>
                <c:ptCount val="6"/>
                <c:pt idx="0">
                  <c:v>2013</c:v>
                </c:pt>
                <c:pt idx="1">
                  <c:v>2014</c:v>
                </c:pt>
                <c:pt idx="2">
                  <c:v>2015</c:v>
                </c:pt>
                <c:pt idx="3">
                  <c:v>2016</c:v>
                </c:pt>
                <c:pt idx="4">
                  <c:v>2017</c:v>
                </c:pt>
                <c:pt idx="5">
                  <c:v>2018</c:v>
                </c:pt>
              </c:numCache>
            </c:numRef>
          </c:cat>
          <c:val>
            <c:numRef>
              <c:f>'2017'!$B$6:$B$11</c:f>
              <c:numCache>
                <c:formatCode>#,##0.0</c:formatCode>
                <c:ptCount val="6"/>
                <c:pt idx="0">
                  <c:v>1267.5999999999999</c:v>
                </c:pt>
                <c:pt idx="1">
                  <c:v>1128</c:v>
                </c:pt>
                <c:pt idx="2">
                  <c:v>1466.5</c:v>
                </c:pt>
                <c:pt idx="3">
                  <c:v>1439.8</c:v>
                </c:pt>
                <c:pt idx="4">
                  <c:v>1501.1</c:v>
                </c:pt>
                <c:pt idx="5">
                  <c:v>1337.8</c:v>
                </c:pt>
              </c:numCache>
            </c:numRef>
          </c:val>
        </c:ser>
        <c:ser>
          <c:idx val="1"/>
          <c:order val="1"/>
          <c:tx>
            <c:strRef>
              <c:f>'2017'!$C$1</c:f>
              <c:strCache>
                <c:ptCount val="1"/>
                <c:pt idx="0">
                  <c:v>Total External Public Debt</c:v>
                </c:pt>
              </c:strCache>
            </c:strRef>
          </c:tx>
          <c:spPr>
            <a:ln w="25400">
              <a:solidFill>
                <a:srgbClr val="0070C0"/>
              </a:solidFill>
              <a:prstDash val="solid"/>
            </a:ln>
          </c:spPr>
          <c:marker>
            <c:symbol val="square"/>
            <c:size val="7"/>
            <c:spPr>
              <a:solidFill>
                <a:srgbClr val="0070C0"/>
              </a:solidFill>
              <a:ln w="12700">
                <a:solidFill>
                  <a:srgbClr val="0070C0"/>
                </a:solidFill>
              </a:ln>
            </c:spPr>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'2017'!$A$6:$A$11</c:f>
              <c:numCache>
                <c:formatCode>General</c:formatCode>
                <c:ptCount val="6"/>
                <c:pt idx="0">
                  <c:v>2013</c:v>
                </c:pt>
                <c:pt idx="1">
                  <c:v>2014</c:v>
                </c:pt>
                <c:pt idx="2">
                  <c:v>2015</c:v>
                </c:pt>
                <c:pt idx="3">
                  <c:v>2016</c:v>
                </c:pt>
                <c:pt idx="4">
                  <c:v>2017</c:v>
                </c:pt>
                <c:pt idx="5">
                  <c:v>2018</c:v>
                </c:pt>
              </c:numCache>
            </c:numRef>
          </c:cat>
          <c:val>
            <c:numRef>
              <c:f>'2017'!$C$6:$C$11</c:f>
              <c:numCache>
                <c:formatCode>#,##0.0</c:formatCode>
                <c:ptCount val="6"/>
                <c:pt idx="0">
                  <c:v>1109</c:v>
                </c:pt>
                <c:pt idx="1">
                  <c:v>1089</c:v>
                </c:pt>
                <c:pt idx="2">
                  <c:v>1071</c:v>
                </c:pt>
                <c:pt idx="3">
                  <c:v>1044</c:v>
                </c:pt>
                <c:pt idx="4">
                  <c:v>1042</c:v>
                </c:pt>
                <c:pt idx="5">
                  <c:v>1031.7</c:v>
                </c:pt>
              </c:numCache>
            </c:numRef>
          </c:val>
        </c:ser>
        <c:marker val="1"/>
        <c:axId val="145789696"/>
        <c:axId val="145791616"/>
      </c:lineChart>
      <c:catAx>
        <c:axId val="145789696"/>
        <c:scaling>
          <c:orientation val="minMax"/>
        </c:scaling>
        <c:axPos val="b"/>
        <c:title>
          <c:tx>
            <c:rich>
              <a:bodyPr/>
              <a:lstStyle/>
              <a:p>
                <a:pPr>
                  <a:defRPr/>
                </a:pPr>
                <a:r>
                  <a:rPr lang="en-US"/>
                  <a:t>Year</a:t>
                </a:r>
              </a:p>
            </c:rich>
          </c:tx>
          <c:layout>
            <c:manualLayout>
              <c:xMode val="edge"/>
              <c:yMode val="edge"/>
              <c:x val="0.53768194145392501"/>
              <c:y val="0.91582433279912012"/>
            </c:manualLayout>
          </c:layout>
        </c:title>
        <c:numFmt formatCode="General" sourceLinked="1"/>
        <c:tickLblPos val="nextTo"/>
        <c:txPr>
          <a:bodyPr rot="0" vert="horz"/>
          <a:lstStyle/>
          <a:p>
            <a:pPr>
              <a:defRPr/>
            </a:pPr>
            <a:endParaRPr lang="en-US"/>
          </a:p>
        </c:txPr>
        <c:crossAx val="145791616"/>
        <c:crosses val="autoZero"/>
        <c:auto val="1"/>
        <c:lblAlgn val="ctr"/>
        <c:lblOffset val="100"/>
        <c:tickLblSkip val="1"/>
        <c:tickMarkSkip val="1"/>
      </c:catAx>
      <c:valAx>
        <c:axId val="145791616"/>
        <c:scaling>
          <c:orientation val="minMax"/>
          <c:min val="900"/>
        </c:scaling>
        <c:axPos val="l"/>
        <c:title>
          <c:tx>
            <c:rich>
              <a:bodyPr/>
              <a:lstStyle/>
              <a:p>
                <a:pPr>
                  <a:defRPr/>
                </a:pPr>
                <a:r>
                  <a:rPr lang="en-US"/>
                  <a:t>USD Million</a:t>
                </a:r>
              </a:p>
            </c:rich>
          </c:tx>
          <c:layout>
            <c:manualLayout>
              <c:xMode val="edge"/>
              <c:yMode val="edge"/>
              <c:x val="2.5922591155527138E-2"/>
              <c:y val="0.23376623376626707"/>
            </c:manualLayout>
          </c:layout>
        </c:title>
        <c:numFmt formatCode="#,##0" sourceLinked="0"/>
        <c:tickLblPos val="nextTo"/>
        <c:txPr>
          <a:bodyPr rot="0" vert="horz"/>
          <a:lstStyle/>
          <a:p>
            <a:pPr>
              <a:defRPr/>
            </a:pPr>
            <a:endParaRPr lang="en-US"/>
          </a:p>
        </c:txPr>
        <c:crossAx val="145789696"/>
        <c:crosses val="autoZero"/>
        <c:crossBetween val="between"/>
      </c:valAx>
      <c:spPr>
        <a:noFill/>
        <a:ln w="25400">
          <a:noFill/>
        </a:ln>
      </c:spPr>
    </c:plotArea>
    <c:legend>
      <c:legendPos val="b"/>
      <c:layout>
        <c:manualLayout>
          <c:xMode val="edge"/>
          <c:yMode val="edge"/>
          <c:x val="0.18860729857562941"/>
          <c:y val="1.9175932729031737E-2"/>
          <c:w val="0.78512965320454653"/>
          <c:h val="7.7443621410802133E-2"/>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71403922118189"/>
          <c:y val="4.0677966101694885E-2"/>
          <c:w val="0.83258931621320065"/>
          <c:h val="0.71015434475982786"/>
        </c:manualLayout>
      </c:layout>
      <c:lineChart>
        <c:grouping val="standard"/>
        <c:ser>
          <c:idx val="0"/>
          <c:order val="0"/>
          <c:tx>
            <c:strRef>
              <c:f>'2018'!$B$1</c:f>
              <c:strCache>
                <c:ptCount val="1"/>
                <c:pt idx="0">
                  <c:v> Total Public Debt  of GDP %</c:v>
                </c:pt>
              </c:strCache>
            </c:strRef>
          </c:tx>
          <c:spPr>
            <a:ln w="25400"/>
          </c:spPr>
          <c:marker>
            <c:symbol val="triangle"/>
            <c:size val="7"/>
            <c:spPr>
              <a:ln w="12700"/>
            </c:spPr>
          </c:marker>
          <c:dLbls>
            <c:dLbl>
              <c:idx val="0"/>
              <c:layout>
                <c:manualLayout>
                  <c:x val="-6.0066740823146218E-2"/>
                  <c:y val="-3.367003367003369E-2"/>
                </c:manualLayout>
              </c:layout>
              <c:showVal val="1"/>
            </c:dLbl>
            <c:dLbl>
              <c:idx val="1"/>
              <c:layout>
                <c:manualLayout>
                  <c:x val="-2.2255159078826962E-2"/>
                  <c:y val="-6.0507907258349945E-2"/>
                </c:manualLayout>
              </c:layout>
              <c:showVal val="1"/>
            </c:dLbl>
            <c:dLbl>
              <c:idx val="2"/>
              <c:layout>
                <c:manualLayout>
                  <c:x val="-3.3382738618238504E-2"/>
                  <c:y val="-6.5162361662835039E-2"/>
                </c:manualLayout>
              </c:layout>
              <c:showVal val="1"/>
            </c:dLbl>
            <c:dLbl>
              <c:idx val="3"/>
              <c:layout>
                <c:manualLayout>
                  <c:x val="-5.3412381789181923E-2"/>
                  <c:y val="-4.6544544044882057E-2"/>
                </c:manualLayout>
              </c:layout>
              <c:showVal val="1"/>
            </c:dLbl>
            <c:dLbl>
              <c:idx val="4"/>
              <c:layout>
                <c:manualLayout>
                  <c:x val="-3.1157222710356012E-2"/>
                  <c:y val="-5.1198998449370384E-2"/>
                </c:manualLayout>
              </c:layout>
              <c:showVal val="1"/>
            </c:dLbl>
            <c:dLbl>
              <c:idx val="5"/>
              <c:layout>
                <c:manualLayout>
                  <c:x val="-2.2246941045607092E-3"/>
                  <c:y val="-6.9161625067137534E-3"/>
                </c:manualLayout>
              </c:layout>
              <c:showVal val="1"/>
            </c:dLbl>
            <c:showVal val="1"/>
          </c:dLbls>
          <c:cat>
            <c:numRef>
              <c:f>'2018'!$A$6:$A$11</c:f>
              <c:numCache>
                <c:formatCode>General</c:formatCode>
                <c:ptCount val="6"/>
                <c:pt idx="0">
                  <c:v>2013</c:v>
                </c:pt>
                <c:pt idx="1">
                  <c:v>2014</c:v>
                </c:pt>
                <c:pt idx="2">
                  <c:v>2015</c:v>
                </c:pt>
                <c:pt idx="3">
                  <c:v>2016</c:v>
                </c:pt>
                <c:pt idx="4">
                  <c:v>2017</c:v>
                </c:pt>
                <c:pt idx="5">
                  <c:v>2018</c:v>
                </c:pt>
              </c:numCache>
            </c:numRef>
          </c:cat>
          <c:val>
            <c:numRef>
              <c:f>'2018'!$B$6:$B$11</c:f>
              <c:numCache>
                <c:formatCode>0.0</c:formatCode>
                <c:ptCount val="6"/>
                <c:pt idx="0">
                  <c:v>19</c:v>
                </c:pt>
                <c:pt idx="1">
                  <c:v>17.399999999999999</c:v>
                </c:pt>
                <c:pt idx="2">
                  <c:v>20</c:v>
                </c:pt>
                <c:pt idx="3">
                  <c:v>18.5</c:v>
                </c:pt>
                <c:pt idx="4">
                  <c:v>17.5</c:v>
                </c:pt>
                <c:pt idx="5">
                  <c:v>16.2</c:v>
                </c:pt>
              </c:numCache>
            </c:numRef>
          </c:val>
        </c:ser>
        <c:ser>
          <c:idx val="1"/>
          <c:order val="1"/>
          <c:tx>
            <c:strRef>
              <c:f>'2018'!$C$1</c:f>
              <c:strCache>
                <c:ptCount val="1"/>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'2018'!$A$6:$A$11</c:f>
              <c:numCache>
                <c:formatCode>General</c:formatCode>
                <c:ptCount val="6"/>
                <c:pt idx="0">
                  <c:v>2013</c:v>
                </c:pt>
                <c:pt idx="1">
                  <c:v>2014</c:v>
                </c:pt>
                <c:pt idx="2">
                  <c:v>2015</c:v>
                </c:pt>
                <c:pt idx="3">
                  <c:v>2016</c:v>
                </c:pt>
                <c:pt idx="4">
                  <c:v>2017</c:v>
                </c:pt>
                <c:pt idx="5">
                  <c:v>2018</c:v>
                </c:pt>
              </c:numCache>
            </c:numRef>
          </c:cat>
          <c:val>
            <c:numRef>
              <c:f>'2018'!$C$5:$C$10</c:f>
              <c:numCache>
                <c:formatCode>General</c:formatCode>
                <c:ptCount val="6"/>
              </c:numCache>
            </c:numRef>
          </c:val>
        </c:ser>
        <c:marker val="1"/>
        <c:axId val="145989632"/>
        <c:axId val="145991552"/>
      </c:lineChart>
      <c:catAx>
        <c:axId val="145989632"/>
        <c:scaling>
          <c:orientation val="minMax"/>
        </c:scaling>
        <c:axPos val="b"/>
        <c:title>
          <c:tx>
            <c:rich>
              <a:bodyPr/>
              <a:lstStyle/>
              <a:p>
                <a:pPr>
                  <a:defRPr/>
                </a:pPr>
                <a:r>
                  <a:rPr lang="en-US"/>
                  <a:t>Year</a:t>
                </a:r>
              </a:p>
            </c:rich>
          </c:tx>
          <c:layout>
            <c:manualLayout>
              <c:xMode val="edge"/>
              <c:yMode val="edge"/>
              <c:x val="0.533253620272371"/>
              <c:y val="0.88177204354841165"/>
            </c:manualLayout>
          </c:layout>
        </c:title>
        <c:numFmt formatCode="General" sourceLinked="1"/>
        <c:tickLblPos val="nextTo"/>
        <c:txPr>
          <a:bodyPr rot="0" vert="horz"/>
          <a:lstStyle/>
          <a:p>
            <a:pPr>
              <a:defRPr/>
            </a:pPr>
            <a:endParaRPr lang="en-US"/>
          </a:p>
        </c:txPr>
        <c:crossAx val="145991552"/>
        <c:crossesAt val="0.1"/>
        <c:auto val="1"/>
        <c:lblAlgn val="ctr"/>
        <c:lblOffset val="100"/>
        <c:tickLblSkip val="1"/>
        <c:tickMarkSkip val="1"/>
      </c:catAx>
      <c:valAx>
        <c:axId val="145991552"/>
        <c:scaling>
          <c:orientation val="minMax"/>
          <c:max val="30"/>
          <c:min val="10"/>
        </c:scaling>
        <c:axPos val="l"/>
        <c:title>
          <c:tx>
            <c:rich>
              <a:bodyPr/>
              <a:lstStyle/>
              <a:p>
                <a:pPr>
                  <a:defRPr/>
                </a:pPr>
                <a:r>
                  <a:rPr lang="en-US"/>
                  <a:t>Percentage (%)</a:t>
                </a:r>
              </a:p>
            </c:rich>
          </c:tx>
          <c:layout>
            <c:manualLayout>
              <c:xMode val="edge"/>
              <c:yMode val="edge"/>
              <c:x val="3.0373560730824412E-2"/>
              <c:y val="0.28031066833936347"/>
            </c:manualLayout>
          </c:layout>
        </c:title>
        <c:numFmt formatCode="#,##0" sourceLinked="0"/>
        <c:tickLblPos val="nextTo"/>
        <c:txPr>
          <a:bodyPr rot="0" vert="horz"/>
          <a:lstStyle/>
          <a:p>
            <a:pPr>
              <a:defRPr/>
            </a:pPr>
            <a:endParaRPr lang="en-US"/>
          </a:p>
        </c:txPr>
        <c:crossAx val="145989632"/>
        <c:crosses val="autoZero"/>
        <c:crossBetween val="between"/>
        <c:majorUnit val="5"/>
        <c:minorUnit val="5"/>
      </c:valAx>
      <c:spPr>
        <a:noFill/>
        <a:ln w="25400">
          <a:noFill/>
        </a:ln>
      </c:spPr>
    </c:plotArea>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7685185185185184"/>
          <c:y val="0.12838256951458329"/>
          <c:w val="0.79768518518518561"/>
          <c:h val="0.68456134603306706"/>
        </c:manualLayout>
      </c:layout>
      <c:barChart>
        <c:barDir val="col"/>
        <c:grouping val="stacked"/>
        <c:ser>
          <c:idx val="0"/>
          <c:order val="0"/>
          <c:tx>
            <c:strRef>
              <c:f>Sheet1!$B$1</c:f>
              <c:strCache>
                <c:ptCount val="1"/>
                <c:pt idx="0">
                  <c:v>Resident individuals</c:v>
                </c:pt>
              </c:strCache>
            </c:strRef>
          </c:tx>
          <c:cat>
            <c:numRef>
              <c:f>Sheet1!$A$6:$A$11</c:f>
              <c:numCache>
                <c:formatCode>General</c:formatCode>
                <c:ptCount val="6"/>
                <c:pt idx="0">
                  <c:v>2013</c:v>
                </c:pt>
                <c:pt idx="1">
                  <c:v>2014</c:v>
                </c:pt>
                <c:pt idx="2">
                  <c:v>2015</c:v>
                </c:pt>
                <c:pt idx="3">
                  <c:v>2016</c:v>
                </c:pt>
                <c:pt idx="4">
                  <c:v>2017</c:v>
                </c:pt>
                <c:pt idx="5">
                  <c:v>2018</c:v>
                </c:pt>
              </c:numCache>
            </c:numRef>
          </c:cat>
          <c:val>
            <c:numRef>
              <c:f>Sheet1!$B$6:$B$11</c:f>
              <c:numCache>
                <c:formatCode>#,##0.0</c:formatCode>
                <c:ptCount val="6"/>
                <c:pt idx="0">
                  <c:v>5798.5</c:v>
                </c:pt>
                <c:pt idx="1">
                  <c:v>6174.3</c:v>
                </c:pt>
                <c:pt idx="2">
                  <c:v>6475.6</c:v>
                </c:pt>
                <c:pt idx="3">
                  <c:v>7038.5</c:v>
                </c:pt>
                <c:pt idx="4">
                  <c:v>8035.3</c:v>
                </c:pt>
                <c:pt idx="5">
                  <c:v>8720.2999999999811</c:v>
                </c:pt>
              </c:numCache>
            </c:numRef>
          </c:val>
        </c:ser>
        <c:ser>
          <c:idx val="1"/>
          <c:order val="1"/>
          <c:tx>
            <c:strRef>
              <c:f>Sheet1!$C$1</c:f>
              <c:strCache>
                <c:ptCount val="1"/>
                <c:pt idx="0">
                  <c:v>Other parties</c:v>
                </c:pt>
              </c:strCache>
            </c:strRef>
          </c:tx>
          <c:spPr>
            <a:solidFill>
              <a:schemeClr val="accent3"/>
            </a:solidFill>
          </c:spPr>
          <c:cat>
            <c:numRef>
              <c:f>Sheet1!$A$6:$A$11</c:f>
              <c:numCache>
                <c:formatCode>General</c:formatCode>
                <c:ptCount val="6"/>
                <c:pt idx="0">
                  <c:v>2013</c:v>
                </c:pt>
                <c:pt idx="1">
                  <c:v>2014</c:v>
                </c:pt>
                <c:pt idx="2">
                  <c:v>2015</c:v>
                </c:pt>
                <c:pt idx="3">
                  <c:v>2016</c:v>
                </c:pt>
                <c:pt idx="4">
                  <c:v>2017</c:v>
                </c:pt>
                <c:pt idx="5">
                  <c:v>2018</c:v>
                </c:pt>
              </c:numCache>
            </c:numRef>
          </c:cat>
          <c:val>
            <c:numRef>
              <c:f>Sheet1!$C$6:$C$11</c:f>
              <c:numCache>
                <c:formatCode>#,##0.0</c:formatCode>
                <c:ptCount val="6"/>
                <c:pt idx="0">
                  <c:v>1973.9</c:v>
                </c:pt>
                <c:pt idx="1">
                  <c:v>2147.9</c:v>
                </c:pt>
                <c:pt idx="2">
                  <c:v>2691</c:v>
                </c:pt>
                <c:pt idx="3">
                  <c:v>3041</c:v>
                </c:pt>
                <c:pt idx="4">
                  <c:v>3348.1</c:v>
                </c:pt>
                <c:pt idx="5">
                  <c:v>3042.8</c:v>
                </c:pt>
              </c:numCache>
            </c:numRef>
          </c:val>
        </c:ser>
        <c:ser>
          <c:idx val="2"/>
          <c:order val="2"/>
          <c:tx>
            <c:strRef>
              <c:f>Sheet1!$D$1</c:f>
              <c:strCache>
                <c:ptCount val="1"/>
                <c:pt idx="0">
                  <c:v> Palestinian Central Government</c:v>
                </c:pt>
              </c:strCache>
            </c:strRef>
          </c:tx>
          <c:spPr>
            <a:solidFill>
              <a:schemeClr val="accent2"/>
            </a:solidFill>
          </c:spPr>
          <c:cat>
            <c:numRef>
              <c:f>Sheet1!$A$6:$A$11</c:f>
              <c:numCache>
                <c:formatCode>General</c:formatCode>
                <c:ptCount val="6"/>
                <c:pt idx="0">
                  <c:v>2013</c:v>
                </c:pt>
                <c:pt idx="1">
                  <c:v>2014</c:v>
                </c:pt>
                <c:pt idx="2">
                  <c:v>2015</c:v>
                </c:pt>
                <c:pt idx="3">
                  <c:v>2016</c:v>
                </c:pt>
                <c:pt idx="4">
                  <c:v>2017</c:v>
                </c:pt>
                <c:pt idx="5">
                  <c:v>2018</c:v>
                </c:pt>
              </c:numCache>
            </c:numRef>
          </c:cat>
          <c:val>
            <c:numRef>
              <c:f>Sheet1!$D$6:$D$11</c:f>
              <c:numCache>
                <c:formatCode>#,##0.0</c:formatCode>
                <c:ptCount val="6"/>
                <c:pt idx="0">
                  <c:v>531.29999999999995</c:v>
                </c:pt>
                <c:pt idx="1">
                  <c:v>612.29999999999995</c:v>
                </c:pt>
                <c:pt idx="2">
                  <c:v>487.6</c:v>
                </c:pt>
                <c:pt idx="3">
                  <c:v>525.20000000000005</c:v>
                </c:pt>
                <c:pt idx="4">
                  <c:v>599.1</c:v>
                </c:pt>
                <c:pt idx="5">
                  <c:v>464.2</c:v>
                </c:pt>
              </c:numCache>
            </c:numRef>
          </c:val>
        </c:ser>
        <c:gapWidth val="220"/>
        <c:overlap val="100"/>
        <c:axId val="146233984"/>
        <c:axId val="146244352"/>
      </c:barChart>
      <c:catAx>
        <c:axId val="14623398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4616305774278218"/>
              <c:y val="0.90406723878616257"/>
            </c:manualLayout>
          </c:layout>
        </c:title>
        <c:numFmt formatCode="General" sourceLinked="1"/>
        <c:majorTickMark val="none"/>
        <c:tickLblPos val="nextTo"/>
        <c:txPr>
          <a:bodyPr/>
          <a:lstStyle/>
          <a:p>
            <a:pPr>
              <a:defRPr sz="900">
                <a:latin typeface="Arial" pitchFamily="34" charset="0"/>
                <a:cs typeface="Arial" pitchFamily="34" charset="0"/>
              </a:defRPr>
            </a:pPr>
            <a:endParaRPr lang="en-US"/>
          </a:p>
        </c:txPr>
        <c:crossAx val="146244352"/>
        <c:crosses val="autoZero"/>
        <c:auto val="1"/>
        <c:lblAlgn val="ctr"/>
        <c:lblOffset val="100"/>
      </c:catAx>
      <c:valAx>
        <c:axId val="146244352"/>
        <c:scaling>
          <c:orientation val="minMax"/>
          <c:max val="13500"/>
          <c:min val="3000"/>
        </c:scaling>
        <c:axPos val="l"/>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sz="900" b="1" i="0" baseline="0">
                    <a:latin typeface="Arial" pitchFamily="34" charset="0"/>
                    <a:cs typeface="Arial" pitchFamily="34" charset="0"/>
                  </a:rPr>
                  <a:t>USD Million</a:t>
                </a:r>
                <a:endParaRPr lang="ar-SA" sz="900">
                  <a:latin typeface="Arial" pitchFamily="34" charset="0"/>
                  <a:cs typeface="Arial" pitchFamily="34" charset="0"/>
                </a:endParaRPr>
              </a:p>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endParaRPr lang="en-US" sz="900">
                  <a:latin typeface="Arial" pitchFamily="34" charset="0"/>
                  <a:cs typeface="Arial" pitchFamily="34" charset="0"/>
                </a:endParaRPr>
              </a:p>
            </c:rich>
          </c:tx>
        </c:title>
        <c:numFmt formatCode="#,##0" sourceLinked="0"/>
        <c:tickLblPos val="nextTo"/>
        <c:txPr>
          <a:bodyPr/>
          <a:lstStyle/>
          <a:p>
            <a:pPr>
              <a:defRPr sz="900">
                <a:latin typeface="Arial" pitchFamily="34" charset="0"/>
                <a:cs typeface="Arial" pitchFamily="34" charset="0"/>
              </a:defRPr>
            </a:pPr>
            <a:endParaRPr lang="en-US"/>
          </a:p>
        </c:txPr>
        <c:crossAx val="146233984"/>
        <c:crosses val="autoZero"/>
        <c:crossBetween val="between"/>
        <c:majorUnit val="1500"/>
        <c:minorUnit val="300"/>
      </c:valAx>
    </c:plotArea>
    <c:legend>
      <c:legendPos val="t"/>
      <c:legendEntry>
        <c:idx val="0"/>
        <c:txPr>
          <a:bodyPr/>
          <a:lstStyle/>
          <a:p>
            <a:pPr>
              <a:defRPr sz="900">
                <a:solidFill>
                  <a:sysClr val="windowText" lastClr="000000"/>
                </a:solidFill>
                <a:latin typeface="Arial" pitchFamily="34" charset="0"/>
                <a:cs typeface="Arial" pitchFamily="34" charset="0"/>
              </a:defRPr>
            </a:pPr>
            <a:endParaRPr lang="en-US"/>
          </a:p>
        </c:txPr>
      </c:legendEntry>
      <c:legendEntry>
        <c:idx val="1"/>
        <c:txPr>
          <a:bodyPr/>
          <a:lstStyle/>
          <a:p>
            <a:pPr>
              <a:defRPr sz="900">
                <a:solidFill>
                  <a:sysClr val="windowText" lastClr="000000"/>
                </a:solidFill>
                <a:latin typeface="Arial" pitchFamily="34" charset="0"/>
                <a:cs typeface="Arial" pitchFamily="34" charset="0"/>
              </a:defRPr>
            </a:pPr>
            <a:endParaRPr lang="en-US"/>
          </a:p>
        </c:txPr>
      </c:legendEntry>
      <c:legendEntry>
        <c:idx val="2"/>
        <c:txPr>
          <a:bodyPr/>
          <a:lstStyle/>
          <a:p>
            <a:pPr>
              <a:defRPr sz="900">
                <a:solidFill>
                  <a:sysClr val="windowText" lastClr="000000"/>
                </a:solidFill>
                <a:latin typeface="Arial" pitchFamily="34" charset="0"/>
                <a:cs typeface="Arial" pitchFamily="34" charset="0"/>
              </a:defRPr>
            </a:pPr>
            <a:endParaRPr lang="en-US"/>
          </a:p>
        </c:txPr>
      </c:legendEntry>
      <c:layout>
        <c:manualLayout>
          <c:xMode val="edge"/>
          <c:yMode val="edge"/>
          <c:x val="0.22226936130823821"/>
          <c:y val="4.1806588200784096E-2"/>
          <c:w val="0.73196316776553849"/>
          <c:h val="8.5221558125108718E-2"/>
        </c:manualLayout>
      </c:layout>
      <c:spPr>
        <a:ln>
          <a:solidFill>
            <a:schemeClr val="tx1"/>
          </a:solidFill>
        </a:ln>
      </c:spPr>
      <c:txPr>
        <a:bodyPr/>
        <a:lstStyle/>
        <a:p>
          <a:pPr>
            <a:defRPr sz="900">
              <a:solidFill>
                <a:sysClr val="windowText" lastClr="000000"/>
              </a:solidFill>
              <a:latin typeface="Arial" pitchFamily="34" charset="0"/>
              <a:cs typeface="Arial" pitchFamily="34" charset="0"/>
            </a:defRPr>
          </a:pPr>
          <a:endParaRPr lang="en-US"/>
        </a:p>
      </c:txPr>
    </c:legend>
    <c:plotVisOnly val="1"/>
  </c:chart>
  <c:spPr>
    <a:ln w="12700">
      <a:no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14144685039370244"/>
          <c:y val="4.3650793650793704E-2"/>
          <c:w val="0.83309018664334855"/>
          <c:h val="0.75013904511936003"/>
        </c:manualLayout>
      </c:layout>
      <c:barChart>
        <c:barDir val="col"/>
        <c:grouping val="clustered"/>
        <c:ser>
          <c:idx val="0"/>
          <c:order val="0"/>
          <c:tx>
            <c:strRef>
              <c:f>'Rep 2018'!$B$1</c:f>
              <c:strCache>
                <c:ptCount val="1"/>
                <c:pt idx="0">
                  <c:v>Column1</c:v>
                </c:pt>
              </c:strCache>
            </c:strRef>
          </c:tx>
          <c:dLbls>
            <c:numFmt formatCode="#,##0.0" sourceLinked="0"/>
            <c:txPr>
              <a:bodyPr/>
              <a:lstStyle/>
              <a:p>
                <a:pPr>
                  <a:defRPr sz="900">
                    <a:latin typeface="Arial" pitchFamily="34" charset="0"/>
                    <a:cs typeface="Arial" pitchFamily="34" charset="0"/>
                  </a:defRPr>
                </a:pPr>
                <a:endParaRPr lang="en-US"/>
              </a:p>
            </c:txPr>
            <c:showVal val="1"/>
          </c:dLbls>
          <c:cat>
            <c:strRef>
              <c:f>'Rep 2018'!$A$2:$A$5</c:f>
              <c:strCache>
                <c:ptCount val="4"/>
                <c:pt idx="0">
                  <c:v>Other Sectors</c:v>
                </c:pt>
                <c:pt idx="1">
                  <c:v>Consumption Loans</c:v>
                </c:pt>
                <c:pt idx="2">
                  <c:v>Public Sector</c:v>
                </c:pt>
                <c:pt idx="3">
                  <c:v> Cars and Vehicles Finance</c:v>
                </c:pt>
              </c:strCache>
            </c:strRef>
          </c:cat>
          <c:val>
            <c:numRef>
              <c:f>'Rep 2018'!$B$2:$B$5</c:f>
              <c:numCache>
                <c:formatCode>#,##0.00</c:formatCode>
                <c:ptCount val="4"/>
                <c:pt idx="0">
                  <c:v>5493.3</c:v>
                </c:pt>
                <c:pt idx="1">
                  <c:v>1326.6</c:v>
                </c:pt>
                <c:pt idx="2">
                  <c:v>1315.7</c:v>
                </c:pt>
                <c:pt idx="3" formatCode="General">
                  <c:v>302.3</c:v>
                </c:pt>
              </c:numCache>
            </c:numRef>
          </c:val>
        </c:ser>
        <c:gapWidth val="221"/>
        <c:axId val="146265984"/>
        <c:axId val="146354176"/>
      </c:barChart>
      <c:catAx>
        <c:axId val="146265984"/>
        <c:scaling>
          <c:orientation val="minMax"/>
        </c:scaling>
        <c:axPos val="b"/>
        <c:title>
          <c:tx>
            <c:rich>
              <a:bodyPr/>
              <a:lstStyle/>
              <a:p>
                <a:pPr>
                  <a:defRPr/>
                </a:pPr>
                <a:r>
                  <a:rPr lang="en-US" sz="900">
                    <a:latin typeface="Arial" pitchFamily="34" charset="0"/>
                    <a:cs typeface="Arial" pitchFamily="34" charset="0"/>
                  </a:rPr>
                  <a:t>Economic Sector</a:t>
                </a:r>
              </a:p>
            </c:rich>
          </c:tx>
          <c:layout>
            <c:manualLayout>
              <c:xMode val="edge"/>
              <c:yMode val="edge"/>
              <c:x val="0.46594907407407432"/>
              <c:y val="0.9124401859405995"/>
            </c:manualLayout>
          </c:layout>
        </c:title>
        <c:majorTickMark val="none"/>
        <c:tickLblPos val="nextTo"/>
        <c:txPr>
          <a:bodyPr/>
          <a:lstStyle/>
          <a:p>
            <a:pPr>
              <a:defRPr sz="900">
                <a:latin typeface="Arial" pitchFamily="34" charset="0"/>
                <a:cs typeface="Arial" pitchFamily="34" charset="0"/>
              </a:defRPr>
            </a:pPr>
            <a:endParaRPr lang="en-US"/>
          </a:p>
        </c:txPr>
        <c:crossAx val="146354176"/>
        <c:crosses val="autoZero"/>
        <c:auto val="1"/>
        <c:lblAlgn val="ctr"/>
        <c:lblOffset val="100"/>
      </c:catAx>
      <c:valAx>
        <c:axId val="146354176"/>
        <c:scaling>
          <c:orientation val="minMax"/>
        </c:scaling>
        <c:axPos val="l"/>
        <c:title>
          <c:tx>
            <c:rich>
              <a:bodyPr/>
              <a:lstStyle/>
              <a:p>
                <a:pPr>
                  <a:defRPr sz="900">
                    <a:latin typeface="Arial" pitchFamily="34" charset="0"/>
                    <a:cs typeface="Arial" pitchFamily="34" charset="0"/>
                  </a:defRPr>
                </a:pPr>
                <a:r>
                  <a:rPr lang="en-US" sz="900" b="1" i="0" baseline="0">
                    <a:latin typeface="Arial" pitchFamily="34" charset="0"/>
                    <a:cs typeface="Arial" pitchFamily="34" charset="0"/>
                  </a:rPr>
                  <a:t>USD Million</a:t>
                </a:r>
                <a:endParaRPr lang="ar-SA" sz="900" b="1" i="0" baseline="0">
                  <a:latin typeface="Arial" pitchFamily="34" charset="0"/>
                  <a:cs typeface="Arial" pitchFamily="34" charset="0"/>
                </a:endParaRPr>
              </a:p>
            </c:rich>
          </c:tx>
          <c:layout>
            <c:manualLayout>
              <c:xMode val="edge"/>
              <c:yMode val="edge"/>
              <c:x val="1.8518518518518583E-2"/>
              <c:y val="0.29173603299587558"/>
            </c:manualLayout>
          </c:layout>
        </c:title>
        <c:numFmt formatCode="#,##0" sourceLinked="0"/>
        <c:tickLblPos val="nextTo"/>
        <c:txPr>
          <a:bodyPr/>
          <a:lstStyle/>
          <a:p>
            <a:pPr>
              <a:defRPr sz="900">
                <a:latin typeface="Arial" pitchFamily="34" charset="0"/>
                <a:cs typeface="Arial" pitchFamily="34" charset="0"/>
              </a:defRPr>
            </a:pPr>
            <a:endParaRPr lang="en-US"/>
          </a:p>
        </c:txPr>
        <c:crossAx val="146265984"/>
        <c:crosses val="autoZero"/>
        <c:crossBetween val="between"/>
      </c:valAx>
    </c:plotArea>
    <c:plotVisOnly val="1"/>
  </c:chart>
  <c:spPr>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504964567203095"/>
          <c:y val="0.1417943019287892"/>
          <c:w val="0.8406408839779006"/>
          <c:h val="0.69470672548910162"/>
        </c:manualLayout>
      </c:layout>
      <c:lineChart>
        <c:grouping val="standard"/>
        <c:ser>
          <c:idx val="0"/>
          <c:order val="0"/>
          <c:tx>
            <c:strRef>
              <c:f>'Rep 2018'!$B$1</c:f>
              <c:strCache>
                <c:ptCount val="1"/>
                <c:pt idx="0">
                  <c:v>Cheques Presented for Clearing</c:v>
                </c:pt>
              </c:strCache>
            </c:strRef>
          </c:tx>
          <c:spPr>
            <a:ln w="25400">
              <a:solidFill>
                <a:srgbClr val="C00000"/>
              </a:solidFill>
            </a:ln>
          </c:spPr>
          <c:marker>
            <c:symbol val="triangle"/>
            <c:size val="7"/>
            <c:spPr>
              <a:solidFill>
                <a:schemeClr val="accent2"/>
              </a:solidFill>
              <a:ln w="12700">
                <a:solidFill>
                  <a:srgbClr val="C00000"/>
                </a:solidFill>
              </a:ln>
            </c:spPr>
          </c:marker>
          <c:dLbls>
            <c:dLbl>
              <c:idx val="0"/>
              <c:layout>
                <c:manualLayout>
                  <c:x val="-4.3981481481481483E-2"/>
                  <c:y val="-6.3492063492063502E-2"/>
                </c:manualLayout>
              </c:layout>
              <c:numFmt formatCode="#,##0.0" sourceLinked="0"/>
              <c:spPr/>
              <c:txPr>
                <a:bodyPr/>
                <a:lstStyle/>
                <a:p>
                  <a:pPr>
                    <a:defRPr sz="900">
                      <a:latin typeface="Arial" pitchFamily="34" charset="0"/>
                      <a:cs typeface="Arial" pitchFamily="34" charset="0"/>
                    </a:defRPr>
                  </a:pPr>
                  <a:endParaRPr lang="en-US"/>
                </a:p>
              </c:txPr>
              <c:showVal val="1"/>
            </c:dLbl>
            <c:dLbl>
              <c:idx val="5"/>
              <c:layout>
                <c:manualLayout>
                  <c:x val="-9.2592592592596022E-3"/>
                  <c:y val="-5.1587301587301577E-2"/>
                </c:manualLayout>
              </c:layout>
              <c:numFmt formatCode="#,##0.0" sourceLinked="0"/>
              <c:spPr/>
              <c:txPr>
                <a:bodyPr/>
                <a:lstStyle/>
                <a:p>
                  <a:pPr>
                    <a:defRPr sz="900">
                      <a:latin typeface="Arial" pitchFamily="34" charset="0"/>
                      <a:cs typeface="Arial" pitchFamily="34" charset="0"/>
                    </a:defRPr>
                  </a:pPr>
                  <a:endParaRPr lang="en-US"/>
                </a:p>
              </c:txPr>
              <c:showVal val="1"/>
            </c:dLbl>
            <c:delete val="1"/>
            <c:txPr>
              <a:bodyPr/>
              <a:lstStyle/>
              <a:p>
                <a:pPr>
                  <a:defRPr sz="900">
                    <a:latin typeface="Arial" pitchFamily="34" charset="0"/>
                    <a:cs typeface="Arial" pitchFamily="34" charset="0"/>
                  </a:defRPr>
                </a:pPr>
                <a:endParaRPr lang="en-US"/>
              </a:p>
            </c:txPr>
          </c:dLbls>
          <c:cat>
            <c:numRef>
              <c:f>'Rep 2018'!$A$6:$A$11</c:f>
              <c:numCache>
                <c:formatCode>General</c:formatCode>
                <c:ptCount val="6"/>
                <c:pt idx="0">
                  <c:v>2013</c:v>
                </c:pt>
                <c:pt idx="1">
                  <c:v>2014</c:v>
                </c:pt>
                <c:pt idx="2">
                  <c:v>2015</c:v>
                </c:pt>
                <c:pt idx="3">
                  <c:v>2016</c:v>
                </c:pt>
                <c:pt idx="4">
                  <c:v>2017</c:v>
                </c:pt>
                <c:pt idx="5">
                  <c:v>2018</c:v>
                </c:pt>
              </c:numCache>
            </c:numRef>
          </c:cat>
          <c:val>
            <c:numRef>
              <c:f>'Rep 2018'!$B$6:$B$11</c:f>
              <c:numCache>
                <c:formatCode>#,##0.00</c:formatCode>
                <c:ptCount val="6"/>
                <c:pt idx="0">
                  <c:v>10567</c:v>
                </c:pt>
                <c:pt idx="1">
                  <c:v>11117.8</c:v>
                </c:pt>
                <c:pt idx="2">
                  <c:v>11131.4</c:v>
                </c:pt>
                <c:pt idx="3">
                  <c:v>12691.5</c:v>
                </c:pt>
                <c:pt idx="4">
                  <c:v>15072.8</c:v>
                </c:pt>
                <c:pt idx="5">
                  <c:v>12730</c:v>
                </c:pt>
              </c:numCache>
            </c:numRef>
          </c:val>
        </c:ser>
        <c:ser>
          <c:idx val="1"/>
          <c:order val="1"/>
          <c:tx>
            <c:strRef>
              <c:f>'Rep 2018'!$C$1</c:f>
              <c:strCache>
                <c:ptCount val="1"/>
                <c:pt idx="0">
                  <c:v>Bounced Cheques</c:v>
                </c:pt>
              </c:strCache>
            </c:strRef>
          </c:tx>
          <c:spPr>
            <a:ln w="25400">
              <a:solidFill>
                <a:srgbClr val="0070C0"/>
              </a:solidFill>
            </a:ln>
          </c:spPr>
          <c:marker>
            <c:symbol val="square"/>
            <c:size val="7"/>
            <c:spPr>
              <a:solidFill>
                <a:srgbClr val="0070C0"/>
              </a:solidFill>
              <a:ln w="12700">
                <a:solidFill>
                  <a:srgbClr val="0070C0"/>
                </a:solidFill>
              </a:ln>
            </c:spPr>
          </c:marker>
          <c:dLbls>
            <c:dLbl>
              <c:idx val="0"/>
              <c:layout>
                <c:manualLayout>
                  <c:x val="-3.2407407407408391E-2"/>
                  <c:y val="-4.7619047619047623E-2"/>
                </c:manualLayout>
              </c:layout>
              <c:showVal val="1"/>
            </c:dLbl>
            <c:dLbl>
              <c:idx val="5"/>
              <c:layout>
                <c:manualLayout>
                  <c:x val="-2.7777777777779046E-2"/>
                  <c:y val="-4.3650793650793704E-2"/>
                </c:manualLayout>
              </c:layout>
              <c:numFmt formatCode="#,##0.0" sourceLinked="0"/>
              <c:spPr/>
              <c:txPr>
                <a:bodyPr/>
                <a:lstStyle/>
                <a:p>
                  <a:pPr>
                    <a:defRPr sz="900">
                      <a:latin typeface="Arial" pitchFamily="34" charset="0"/>
                      <a:cs typeface="Arial" pitchFamily="34" charset="0"/>
                    </a:defRPr>
                  </a:pPr>
                  <a:endParaRPr lang="en-US"/>
                </a:p>
              </c:txPr>
              <c:showVal val="1"/>
            </c:dLbl>
            <c:delete val="1"/>
            <c:txPr>
              <a:bodyPr/>
              <a:lstStyle/>
              <a:p>
                <a:pPr>
                  <a:defRPr sz="900">
                    <a:latin typeface="Arial" pitchFamily="34" charset="0"/>
                    <a:cs typeface="Arial" pitchFamily="34" charset="0"/>
                  </a:defRPr>
                </a:pPr>
                <a:endParaRPr lang="en-US"/>
              </a:p>
            </c:txPr>
          </c:dLbls>
          <c:cat>
            <c:numRef>
              <c:f>'Rep 2018'!$A$6:$A$11</c:f>
              <c:numCache>
                <c:formatCode>General</c:formatCode>
                <c:ptCount val="6"/>
                <c:pt idx="0">
                  <c:v>2013</c:v>
                </c:pt>
                <c:pt idx="1">
                  <c:v>2014</c:v>
                </c:pt>
                <c:pt idx="2">
                  <c:v>2015</c:v>
                </c:pt>
                <c:pt idx="3">
                  <c:v>2016</c:v>
                </c:pt>
                <c:pt idx="4">
                  <c:v>2017</c:v>
                </c:pt>
                <c:pt idx="5">
                  <c:v>2018</c:v>
                </c:pt>
              </c:numCache>
            </c:numRef>
          </c:cat>
          <c:val>
            <c:numRef>
              <c:f>'Rep 2018'!$C$6:$C$11</c:f>
              <c:numCache>
                <c:formatCode>General</c:formatCode>
                <c:ptCount val="6"/>
                <c:pt idx="0">
                  <c:v>659.1</c:v>
                </c:pt>
                <c:pt idx="1">
                  <c:v>664.8</c:v>
                </c:pt>
                <c:pt idx="2">
                  <c:v>670.3</c:v>
                </c:pt>
                <c:pt idx="3">
                  <c:v>831.5</c:v>
                </c:pt>
                <c:pt idx="4" formatCode="#,##0.00">
                  <c:v>1154.2</c:v>
                </c:pt>
                <c:pt idx="5" formatCode="#,##0.00">
                  <c:v>1125.5</c:v>
                </c:pt>
              </c:numCache>
            </c:numRef>
          </c:val>
        </c:ser>
        <c:marker val="1"/>
        <c:axId val="159307648"/>
        <c:axId val="146276352"/>
      </c:lineChart>
      <c:catAx>
        <c:axId val="15930764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1759783952939964"/>
              <c:y val="0.91813408614045333"/>
            </c:manualLayout>
          </c:layout>
        </c:title>
        <c:numFmt formatCode="General" sourceLinked="1"/>
        <c:majorTickMark val="none"/>
        <c:tickLblPos val="nextTo"/>
        <c:txPr>
          <a:bodyPr/>
          <a:lstStyle/>
          <a:p>
            <a:pPr>
              <a:defRPr sz="900">
                <a:latin typeface="Arial" pitchFamily="34" charset="0"/>
                <a:cs typeface="Arial" pitchFamily="34" charset="0"/>
              </a:defRPr>
            </a:pPr>
            <a:endParaRPr lang="en-US"/>
          </a:p>
        </c:txPr>
        <c:crossAx val="146276352"/>
        <c:crosses val="autoZero"/>
        <c:auto val="1"/>
        <c:lblAlgn val="ctr"/>
        <c:lblOffset val="100"/>
      </c:catAx>
      <c:valAx>
        <c:axId val="146276352"/>
        <c:scaling>
          <c:orientation val="minMax"/>
          <c:max val="16500"/>
        </c:scaling>
        <c:axPos val="l"/>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sz="900" b="1" i="0" baseline="0">
                    <a:latin typeface="Arial" pitchFamily="34" charset="0"/>
                    <a:cs typeface="Arial" pitchFamily="34" charset="0"/>
                  </a:rPr>
                  <a:t>USD Million</a:t>
                </a:r>
                <a:endParaRPr lang="ar-SA" sz="900" b="1" i="0" baseline="0">
                  <a:latin typeface="Arial" pitchFamily="34" charset="0"/>
                  <a:cs typeface="Arial" pitchFamily="34" charset="0"/>
                </a:endParaRPr>
              </a:p>
            </c:rich>
          </c:tx>
          <c:layout>
            <c:manualLayout>
              <c:xMode val="edge"/>
              <c:yMode val="edge"/>
              <c:x val="1.3259611439021652E-2"/>
              <c:y val="0.3739719691718208"/>
            </c:manualLayout>
          </c:layout>
        </c:title>
        <c:numFmt formatCode="#,##0" sourceLinked="0"/>
        <c:tickLblPos val="nextTo"/>
        <c:txPr>
          <a:bodyPr/>
          <a:lstStyle/>
          <a:p>
            <a:pPr>
              <a:defRPr sz="900">
                <a:latin typeface="Arial" pitchFamily="34" charset="0"/>
                <a:cs typeface="Arial" pitchFamily="34" charset="0"/>
              </a:defRPr>
            </a:pPr>
            <a:endParaRPr lang="en-US"/>
          </a:p>
        </c:txPr>
        <c:crossAx val="159307648"/>
        <c:crosses val="autoZero"/>
        <c:crossBetween val="between"/>
        <c:majorUnit val="1500"/>
        <c:minorUnit val="500"/>
      </c:valAx>
    </c:plotArea>
    <c:legend>
      <c:legendPos val="b"/>
      <c:layout>
        <c:manualLayout>
          <c:xMode val="edge"/>
          <c:yMode val="edge"/>
          <c:x val="0.21634931441691074"/>
          <c:y val="3.0828552941145868E-2"/>
          <c:w val="0.66011919780745643"/>
          <c:h val="8.5498408443625398E-2"/>
        </c:manualLayout>
      </c:layout>
      <c:spPr>
        <a:ln>
          <a:solidFill>
            <a:schemeClr val="tx1"/>
          </a:solidFill>
        </a:ln>
      </c:spPr>
      <c:txPr>
        <a:bodyPr/>
        <a:lstStyle/>
        <a:p>
          <a:pPr>
            <a:defRPr sz="900">
              <a:latin typeface="Arial" pitchFamily="34" charset="0"/>
              <a:cs typeface="Arial" pitchFamily="34" charset="0"/>
            </a:defRPr>
          </a:pPr>
          <a:endParaRPr lang="en-US"/>
        </a:p>
      </c:txPr>
    </c:legend>
    <c:plotVisOnly val="1"/>
  </c:chart>
  <c:spPr>
    <a:ln>
      <a:no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128533169406764"/>
          <c:y val="0.17787381267170138"/>
          <c:w val="0.84400000000000064"/>
          <c:h val="0.73076923076923073"/>
        </c:manualLayout>
      </c:layout>
      <c:barChart>
        <c:barDir val="col"/>
        <c:grouping val="clustered"/>
        <c:ser>
          <c:idx val="0"/>
          <c:order val="0"/>
          <c:tx>
            <c:strRef>
              <c:f>'Rep 2018'!$A$2</c:f>
              <c:strCache>
                <c:ptCount val="1"/>
                <c:pt idx="0">
                  <c:v>Exports</c:v>
                </c:pt>
              </c:strCache>
            </c:strRef>
          </c:tx>
          <c:spPr>
            <a:solidFill>
              <a:srgbClr val="00B05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2018'!$F$2:$K$2</c:f>
              <c:numCache>
                <c:formatCode>#,##0.0</c:formatCode>
                <c:ptCount val="6"/>
                <c:pt idx="0">
                  <c:v>2071.8000000000002</c:v>
                </c:pt>
                <c:pt idx="1">
                  <c:v>2172.1999999999998</c:v>
                </c:pt>
                <c:pt idx="2">
                  <c:v>2338.1</c:v>
                </c:pt>
                <c:pt idx="3" formatCode="General">
                  <c:v>2380.6999999999998</c:v>
                </c:pt>
                <c:pt idx="4" formatCode="General">
                  <c:v>2692.6</c:v>
                </c:pt>
                <c:pt idx="5">
                  <c:v>2903.5</c:v>
                </c:pt>
              </c:numCache>
            </c:numRef>
          </c:val>
        </c:ser>
        <c:ser>
          <c:idx val="1"/>
          <c:order val="1"/>
          <c:tx>
            <c:strRef>
              <c:f>'Rep 2018'!$A$3</c:f>
              <c:strCache>
                <c:ptCount val="1"/>
                <c:pt idx="0">
                  <c:v>Imports</c:v>
                </c:pt>
              </c:strCache>
            </c:strRef>
          </c:tx>
          <c:spPr>
            <a:solidFill>
              <a:srgbClr val="C0000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2018'!$F$3:$K$3</c:f>
              <c:numCache>
                <c:formatCode>#,##0.0</c:formatCode>
                <c:ptCount val="6"/>
                <c:pt idx="0">
                  <c:v>6804</c:v>
                </c:pt>
                <c:pt idx="1">
                  <c:v>7208.9000000000005</c:v>
                </c:pt>
                <c:pt idx="2">
                  <c:v>7537.6</c:v>
                </c:pt>
                <c:pt idx="3" formatCode="General">
                  <c:v>7626.7</c:v>
                </c:pt>
                <c:pt idx="4" formatCode="General">
                  <c:v>8066.8</c:v>
                </c:pt>
                <c:pt idx="5">
                  <c:v>8730.9</c:v>
                </c:pt>
              </c:numCache>
            </c:numRef>
          </c:val>
        </c:ser>
        <c:ser>
          <c:idx val="2"/>
          <c:order val="2"/>
          <c:tx>
            <c:strRef>
              <c:f>'Rep 2018'!$A$4</c:f>
              <c:strCache>
                <c:ptCount val="1"/>
                <c:pt idx="0">
                  <c:v>Trade Balance Deficit </c:v>
                </c:pt>
              </c:strCache>
            </c:strRef>
          </c:tx>
          <c:cat>
            <c:numRef>
              <c:f>'Rep 2018'!$F$1:$K$1</c:f>
              <c:numCache>
                <c:formatCode>General</c:formatCode>
                <c:ptCount val="6"/>
                <c:pt idx="0">
                  <c:v>2013</c:v>
                </c:pt>
                <c:pt idx="1">
                  <c:v>2014</c:v>
                </c:pt>
                <c:pt idx="2">
                  <c:v>2015</c:v>
                </c:pt>
                <c:pt idx="3">
                  <c:v>2016</c:v>
                </c:pt>
                <c:pt idx="4">
                  <c:v>2017</c:v>
                </c:pt>
                <c:pt idx="5">
                  <c:v>2018</c:v>
                </c:pt>
              </c:numCache>
            </c:numRef>
          </c:cat>
          <c:val>
            <c:numRef>
              <c:f>'Rep 2018'!$F$4:$K$4</c:f>
              <c:numCache>
                <c:formatCode>#,##0.0</c:formatCode>
                <c:ptCount val="6"/>
                <c:pt idx="0">
                  <c:v>-4732.2</c:v>
                </c:pt>
                <c:pt idx="1">
                  <c:v>-5036.7000000000007</c:v>
                </c:pt>
                <c:pt idx="2">
                  <c:v>-5199.5</c:v>
                </c:pt>
                <c:pt idx="3" formatCode="General">
                  <c:v>-5246</c:v>
                </c:pt>
                <c:pt idx="4" formatCode="General">
                  <c:v>-5374.2000000000007</c:v>
                </c:pt>
                <c:pt idx="5">
                  <c:v>-5827.4</c:v>
                </c:pt>
              </c:numCache>
            </c:numRef>
          </c:val>
        </c:ser>
        <c:axId val="159566080"/>
        <c:axId val="159576448"/>
      </c:barChart>
      <c:catAx>
        <c:axId val="159566080"/>
        <c:scaling>
          <c:orientation val="minMax"/>
        </c:scaling>
        <c:axPos val="b"/>
        <c:title>
          <c:tx>
            <c:rich>
              <a:bodyPr/>
              <a:lstStyle/>
              <a:p>
                <a:pPr>
                  <a:defRPr/>
                </a:pPr>
                <a:r>
                  <a:rPr lang="en-US"/>
                  <a:t>Year</a:t>
                </a:r>
                <a:endParaRPr lang="ar-SA"/>
              </a:p>
            </c:rich>
          </c:tx>
          <c:layout>
            <c:manualLayout>
              <c:xMode val="edge"/>
              <c:yMode val="edge"/>
              <c:x val="0.48809393727692435"/>
              <c:y val="0.91747012980825249"/>
            </c:manualLayout>
          </c:layout>
        </c:title>
        <c:numFmt formatCode="General" sourceLinked="1"/>
        <c:tickLblPos val="nextTo"/>
        <c:txPr>
          <a:bodyPr rot="0" vert="horz"/>
          <a:lstStyle/>
          <a:p>
            <a:pPr>
              <a:defRPr/>
            </a:pPr>
            <a:endParaRPr lang="en-US"/>
          </a:p>
        </c:txPr>
        <c:crossAx val="159576448"/>
        <c:crosses val="autoZero"/>
        <c:auto val="1"/>
        <c:lblAlgn val="ctr"/>
        <c:lblOffset val="100"/>
        <c:tickLblSkip val="1"/>
        <c:tickMarkSkip val="1"/>
      </c:catAx>
      <c:valAx>
        <c:axId val="159576448"/>
        <c:scaling>
          <c:orientation val="minMax"/>
          <c:max val="9000"/>
        </c:scaling>
        <c:axPos val="l"/>
        <c:title>
          <c:tx>
            <c:rich>
              <a:bodyPr/>
              <a:lstStyle/>
              <a:p>
                <a:pPr>
                  <a:defRPr/>
                </a:pPr>
                <a:r>
                  <a:rPr lang="en-US"/>
                  <a:t>USD Million</a:t>
                </a:r>
                <a:endParaRPr lang="ar-SA"/>
              </a:p>
            </c:rich>
          </c:tx>
          <c:layout>
            <c:manualLayout>
              <c:xMode val="edge"/>
              <c:yMode val="edge"/>
              <c:x val="2.3784719607247248E-2"/>
              <c:y val="0.3253170615854275"/>
            </c:manualLayout>
          </c:layout>
        </c:title>
        <c:numFmt formatCode="#,##0" sourceLinked="0"/>
        <c:tickLblPos val="nextTo"/>
        <c:txPr>
          <a:bodyPr rot="0" vert="horz"/>
          <a:lstStyle/>
          <a:p>
            <a:pPr>
              <a:defRPr/>
            </a:pPr>
            <a:endParaRPr lang="en-US"/>
          </a:p>
        </c:txPr>
        <c:crossAx val="159566080"/>
        <c:crosses val="autoZero"/>
        <c:crossBetween val="between"/>
        <c:majorUnit val="1500"/>
      </c:valAx>
    </c:plotArea>
    <c:legend>
      <c:legendPos val="b"/>
      <c:layout>
        <c:manualLayout>
          <c:xMode val="edge"/>
          <c:yMode val="edge"/>
          <c:x val="0.19309270968244399"/>
          <c:y val="2.2740832469326792E-2"/>
          <c:w val="0.69488620274131097"/>
          <c:h val="7.1005917159763413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280759878755342"/>
          <c:y val="8.6323316134763364E-2"/>
          <c:w val="0.85268980838339492"/>
          <c:h val="0.74542428357422474"/>
        </c:manualLayout>
      </c:layout>
      <c:lineChart>
        <c:grouping val="standard"/>
        <c:ser>
          <c:idx val="0"/>
          <c:order val="0"/>
          <c:tx>
            <c:strRef>
              <c:f>Sheet1!$C$2</c:f>
              <c:strCache>
                <c:ptCount val="1"/>
                <c:pt idx="0">
                  <c:v>Palestine</c:v>
                </c:pt>
              </c:strCache>
            </c:strRef>
          </c:tx>
          <c:spPr>
            <a:ln w="25400"/>
          </c:spPr>
          <c:marker>
            <c:symbol val="square"/>
            <c:size val="7"/>
            <c:spPr>
              <a:ln w="12700"/>
            </c:spPr>
          </c:marker>
          <c:dLbls>
            <c:dLbl>
              <c:idx val="0"/>
              <c:layout>
                <c:manualLayout>
                  <c:x val="-4.2746757424760404E-2"/>
                  <c:y val="-3.9724576271186439E-2"/>
                </c:manualLayout>
              </c:layout>
              <c:showVal val="1"/>
            </c:dLbl>
            <c:dLbl>
              <c:idx val="5"/>
              <c:layout>
                <c:manualLayout>
                  <c:x val="-2.4748020158387327E-2"/>
                  <c:y val="-4.8552259887005733E-2"/>
                </c:manualLayout>
              </c:layout>
              <c:showVal val="1"/>
            </c:dLbl>
            <c:delete val="1"/>
          </c:dLbls>
          <c:cat>
            <c:numRef>
              <c:f>Sheet1!$B$7:$B$12</c:f>
              <c:numCache>
                <c:formatCode>General</c:formatCode>
                <c:ptCount val="6"/>
                <c:pt idx="0">
                  <c:v>2013</c:v>
                </c:pt>
                <c:pt idx="1">
                  <c:v>2014</c:v>
                </c:pt>
                <c:pt idx="2">
                  <c:v>2015</c:v>
                </c:pt>
                <c:pt idx="3">
                  <c:v>2016</c:v>
                </c:pt>
                <c:pt idx="4">
                  <c:v>2017</c:v>
                </c:pt>
                <c:pt idx="5">
                  <c:v>2018</c:v>
                </c:pt>
              </c:numCache>
            </c:numRef>
          </c:cat>
          <c:val>
            <c:numRef>
              <c:f>Sheet1!$C$7:$C$12</c:f>
              <c:numCache>
                <c:formatCode>#,##0.0</c:formatCode>
                <c:ptCount val="6"/>
                <c:pt idx="0">
                  <c:v>3015.5</c:v>
                </c:pt>
                <c:pt idx="1">
                  <c:v>2940.7</c:v>
                </c:pt>
                <c:pt idx="2">
                  <c:v>2973.1</c:v>
                </c:pt>
                <c:pt idx="3">
                  <c:v>3044.4</c:v>
                </c:pt>
                <c:pt idx="4">
                  <c:v>3072.4</c:v>
                </c:pt>
                <c:pt idx="5">
                  <c:v>3021.4</c:v>
                </c:pt>
              </c:numCache>
            </c:numRef>
          </c:val>
        </c:ser>
        <c:ser>
          <c:idx val="1"/>
          <c:order val="1"/>
          <c:tx>
            <c:strRef>
              <c:f>Sheet1!$D$2</c:f>
              <c:strCache>
                <c:ptCount val="1"/>
                <c:pt idx="0">
                  <c:v>West Bank</c:v>
                </c:pt>
              </c:strCache>
            </c:strRef>
          </c:tx>
          <c:spPr>
            <a:ln w="25400">
              <a:prstDash val="solid"/>
            </a:ln>
          </c:spPr>
          <c:marker>
            <c:symbol val="triangle"/>
            <c:size val="7"/>
            <c:spPr>
              <a:solidFill>
                <a:srgbClr val="C00000"/>
              </a:solidFill>
              <a:ln w="12700"/>
            </c:spPr>
          </c:marker>
          <c:dLbls>
            <c:dLbl>
              <c:idx val="0"/>
              <c:layout>
                <c:manualLayout>
                  <c:x val="-4.4996400287977134E-2"/>
                  <c:y val="-4.4138418079096034E-2"/>
                </c:manualLayout>
              </c:layout>
              <c:showVal val="1"/>
            </c:dLbl>
            <c:dLbl>
              <c:idx val="5"/>
              <c:layout>
                <c:manualLayout>
                  <c:x val="-4.724622030237581E-2"/>
                  <c:y val="-3.5310734463276844E-2"/>
                </c:manualLayout>
              </c:layout>
              <c:showVal val="1"/>
            </c:dLbl>
            <c:delete val="1"/>
          </c:dLbls>
          <c:cat>
            <c:numRef>
              <c:f>Sheet1!$B$7:$B$12</c:f>
              <c:numCache>
                <c:formatCode>General</c:formatCode>
                <c:ptCount val="6"/>
                <c:pt idx="0">
                  <c:v>2013</c:v>
                </c:pt>
                <c:pt idx="1">
                  <c:v>2014</c:v>
                </c:pt>
                <c:pt idx="2">
                  <c:v>2015</c:v>
                </c:pt>
                <c:pt idx="3">
                  <c:v>2016</c:v>
                </c:pt>
                <c:pt idx="4">
                  <c:v>2017</c:v>
                </c:pt>
                <c:pt idx="5">
                  <c:v>2018</c:v>
                </c:pt>
              </c:numCache>
            </c:numRef>
          </c:cat>
          <c:val>
            <c:numRef>
              <c:f>Sheet1!$D$7:$D$12</c:f>
              <c:numCache>
                <c:formatCode>#,##0.0</c:formatCode>
                <c:ptCount val="6"/>
                <c:pt idx="0">
                  <c:v>3698.1</c:v>
                </c:pt>
                <c:pt idx="1">
                  <c:v>3817.8</c:v>
                </c:pt>
                <c:pt idx="2">
                  <c:v>3843</c:v>
                </c:pt>
                <c:pt idx="3">
                  <c:v>3902.6</c:v>
                </c:pt>
                <c:pt idx="4">
                  <c:v>4154.2</c:v>
                </c:pt>
                <c:pt idx="5">
                  <c:v>4188.3</c:v>
                </c:pt>
              </c:numCache>
            </c:numRef>
          </c:val>
        </c:ser>
        <c:ser>
          <c:idx val="2"/>
          <c:order val="2"/>
          <c:tx>
            <c:strRef>
              <c:f>Sheet1!$E$2</c:f>
              <c:strCache>
                <c:ptCount val="1"/>
                <c:pt idx="0">
                  <c:v>Gaza Strip</c:v>
                </c:pt>
              </c:strCache>
            </c:strRef>
          </c:tx>
          <c:spPr>
            <a:ln w="25400">
              <a:prstDash val="solid"/>
            </a:ln>
          </c:spPr>
          <c:marker>
            <c:symbol val="circle"/>
            <c:size val="7"/>
            <c:spPr>
              <a:ln w="12700"/>
            </c:spPr>
          </c:marker>
          <c:dLbls>
            <c:dLbl>
              <c:idx val="0"/>
              <c:layout>
                <c:manualLayout>
                  <c:x val="-3.3747300215982719E-2"/>
                  <c:y val="-4.4138418079096103E-2"/>
                </c:manualLayout>
              </c:layout>
              <c:showVal val="1"/>
            </c:dLbl>
            <c:dLbl>
              <c:idx val="5"/>
              <c:layout>
                <c:manualLayout>
                  <c:x val="-2.249820014398848E-3"/>
                  <c:y val="-3.5310734463276844E-2"/>
                </c:manualLayout>
              </c:layout>
              <c:showVal val="1"/>
            </c:dLbl>
            <c:delete val="1"/>
          </c:dLbls>
          <c:cat>
            <c:numRef>
              <c:f>Sheet1!$B$7:$B$12</c:f>
              <c:numCache>
                <c:formatCode>General</c:formatCode>
                <c:ptCount val="6"/>
                <c:pt idx="0">
                  <c:v>2013</c:v>
                </c:pt>
                <c:pt idx="1">
                  <c:v>2014</c:v>
                </c:pt>
                <c:pt idx="2">
                  <c:v>2015</c:v>
                </c:pt>
                <c:pt idx="3">
                  <c:v>2016</c:v>
                </c:pt>
                <c:pt idx="4">
                  <c:v>2017</c:v>
                </c:pt>
                <c:pt idx="5">
                  <c:v>2018</c:v>
                </c:pt>
              </c:numCache>
            </c:numRef>
          </c:cat>
          <c:val>
            <c:numRef>
              <c:f>Sheet1!$E$7:$E$12</c:f>
              <c:numCache>
                <c:formatCode>#,##0.0</c:formatCode>
                <c:ptCount val="6"/>
                <c:pt idx="0">
                  <c:v>2065.5</c:v>
                </c:pt>
                <c:pt idx="1">
                  <c:v>1705.3</c:v>
                </c:pt>
                <c:pt idx="2">
                  <c:v>1760.3</c:v>
                </c:pt>
                <c:pt idx="3">
                  <c:v>1856.9</c:v>
                </c:pt>
                <c:pt idx="4">
                  <c:v>1582.2</c:v>
                </c:pt>
                <c:pt idx="5">
                  <c:v>1431.4</c:v>
                </c:pt>
              </c:numCache>
            </c:numRef>
          </c:val>
        </c:ser>
        <c:marker val="1"/>
        <c:axId val="140364032"/>
        <c:axId val="140382592"/>
      </c:lineChart>
      <c:catAx>
        <c:axId val="140364032"/>
        <c:scaling>
          <c:orientation val="minMax"/>
        </c:scaling>
        <c:axPos val="b"/>
        <c:title>
          <c:tx>
            <c:rich>
              <a:bodyPr/>
              <a:lstStyle/>
              <a:p>
                <a:pPr>
                  <a:defRPr/>
                </a:pPr>
                <a:r>
                  <a:rPr lang="en-US"/>
                  <a:t>Year</a:t>
                </a:r>
              </a:p>
            </c:rich>
          </c:tx>
          <c:layout>
            <c:manualLayout>
              <c:xMode val="edge"/>
              <c:yMode val="edge"/>
              <c:x val="0.5066596907944646"/>
              <c:y val="0.92746646090172735"/>
            </c:manualLayout>
          </c:layout>
        </c:title>
        <c:numFmt formatCode="General" sourceLinked="1"/>
        <c:tickLblPos val="nextTo"/>
        <c:txPr>
          <a:bodyPr rot="0" vert="horz"/>
          <a:lstStyle/>
          <a:p>
            <a:pPr>
              <a:defRPr/>
            </a:pPr>
            <a:endParaRPr lang="en-US"/>
          </a:p>
        </c:txPr>
        <c:crossAx val="140382592"/>
        <c:crossesAt val="0"/>
        <c:auto val="1"/>
        <c:lblAlgn val="ctr"/>
        <c:lblOffset val="100"/>
        <c:tickLblSkip val="1"/>
        <c:tickMarkSkip val="1"/>
      </c:catAx>
      <c:valAx>
        <c:axId val="140382592"/>
        <c:scaling>
          <c:orientation val="minMax"/>
          <c:max val="4500"/>
          <c:min val="1000"/>
        </c:scaling>
        <c:axPos val="l"/>
        <c:title>
          <c:tx>
            <c:rich>
              <a:bodyPr/>
              <a:lstStyle/>
              <a:p>
                <a:pPr algn="ctr" rtl="0">
                  <a:defRPr/>
                </a:pPr>
                <a:r>
                  <a:rPr lang="en-US"/>
                  <a:t> USD</a:t>
                </a:r>
                <a:endParaRPr lang="en-GB"/>
              </a:p>
              <a:p>
                <a:pPr algn="ctr" rtl="0">
                  <a:defRPr/>
                </a:pPr>
                <a:endParaRPr lang="en-US"/>
              </a:p>
            </c:rich>
          </c:tx>
          <c:layout>
            <c:manualLayout>
              <c:xMode val="edge"/>
              <c:yMode val="edge"/>
              <c:x val="5.8859554469016364E-3"/>
              <c:y val="0.42383543499752446"/>
            </c:manualLayout>
          </c:layout>
        </c:title>
        <c:numFmt formatCode="#,##0" sourceLinked="0"/>
        <c:tickLblPos val="nextTo"/>
        <c:txPr>
          <a:bodyPr rot="0" vert="horz"/>
          <a:lstStyle/>
          <a:p>
            <a:pPr>
              <a:defRPr/>
            </a:pPr>
            <a:endParaRPr lang="en-US"/>
          </a:p>
        </c:txPr>
        <c:crossAx val="140364032"/>
        <c:crosses val="autoZero"/>
        <c:crossBetween val="between"/>
        <c:majorUnit val="500"/>
      </c:valAx>
    </c:plotArea>
    <c:legend>
      <c:legendPos val="b"/>
      <c:layout>
        <c:manualLayout>
          <c:xMode val="edge"/>
          <c:yMode val="edge"/>
          <c:x val="0.26607877275330138"/>
          <c:y val="3.2513331887539652E-2"/>
          <c:w val="0.5392292435503081"/>
          <c:h val="7.5408345695918436E-2"/>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942487619748739"/>
          <c:y val="0.12835641215025559"/>
          <c:w val="0.82814741162873751"/>
          <c:h val="0.68379537008496805"/>
        </c:manualLayout>
      </c:layout>
      <c:barChart>
        <c:barDir val="col"/>
        <c:grouping val="clustered"/>
        <c:ser>
          <c:idx val="0"/>
          <c:order val="0"/>
          <c:tx>
            <c:strRef>
              <c:f>'2018'!$A$2</c:f>
              <c:strCache>
                <c:ptCount val="1"/>
                <c:pt idx="0">
                  <c:v>Received Compensation employees</c:v>
                </c:pt>
              </c:strCache>
            </c:strRef>
          </c:tx>
          <c:spPr>
            <a:solidFill>
              <a:srgbClr val="00B050"/>
            </a:solidFill>
          </c:spPr>
          <c:cat>
            <c:numRef>
              <c:f>'2018'!$F$1:$K$1</c:f>
              <c:numCache>
                <c:formatCode>General</c:formatCode>
                <c:ptCount val="6"/>
                <c:pt idx="0">
                  <c:v>2013</c:v>
                </c:pt>
                <c:pt idx="1">
                  <c:v>2014</c:v>
                </c:pt>
                <c:pt idx="2">
                  <c:v>2015</c:v>
                </c:pt>
                <c:pt idx="3">
                  <c:v>2016</c:v>
                </c:pt>
                <c:pt idx="4">
                  <c:v>2017</c:v>
                </c:pt>
                <c:pt idx="5">
                  <c:v>2018</c:v>
                </c:pt>
              </c:numCache>
            </c:numRef>
          </c:cat>
          <c:val>
            <c:numRef>
              <c:f>'2018'!$F$2:$K$2</c:f>
              <c:numCache>
                <c:formatCode>#,##0.0</c:formatCode>
                <c:ptCount val="6"/>
                <c:pt idx="0">
                  <c:v>1140.5</c:v>
                </c:pt>
                <c:pt idx="1">
                  <c:v>1449.4</c:v>
                </c:pt>
                <c:pt idx="2" formatCode="0.0">
                  <c:v>1663.9</c:v>
                </c:pt>
                <c:pt idx="3" formatCode="0.0">
                  <c:v>1894.5</c:v>
                </c:pt>
                <c:pt idx="4" formatCode="General">
                  <c:v>1969.8</c:v>
                </c:pt>
                <c:pt idx="5" formatCode="#,##0.00">
                  <c:v>2278.1999999999998</c:v>
                </c:pt>
              </c:numCache>
            </c:numRef>
          </c:val>
        </c:ser>
        <c:ser>
          <c:idx val="1"/>
          <c:order val="1"/>
          <c:tx>
            <c:strRef>
              <c:f>'2018'!$A$3</c:f>
              <c:strCache>
                <c:ptCount val="1"/>
                <c:pt idx="0">
                  <c:v>Received investment income</c:v>
                </c:pt>
              </c:strCache>
            </c:strRef>
          </c:tx>
          <c:spPr>
            <a:solidFill>
              <a:srgbClr val="C00000"/>
            </a:solidFill>
          </c:spPr>
          <c:cat>
            <c:numRef>
              <c:f>'2018'!$F$1:$K$1</c:f>
              <c:numCache>
                <c:formatCode>General</c:formatCode>
                <c:ptCount val="6"/>
                <c:pt idx="0">
                  <c:v>2013</c:v>
                </c:pt>
                <c:pt idx="1">
                  <c:v>2014</c:v>
                </c:pt>
                <c:pt idx="2">
                  <c:v>2015</c:v>
                </c:pt>
                <c:pt idx="3">
                  <c:v>2016</c:v>
                </c:pt>
                <c:pt idx="4">
                  <c:v>2017</c:v>
                </c:pt>
                <c:pt idx="5">
                  <c:v>2018</c:v>
                </c:pt>
              </c:numCache>
            </c:numRef>
          </c:cat>
          <c:val>
            <c:numRef>
              <c:f>'2018'!$F$3:$K$3</c:f>
              <c:numCache>
                <c:formatCode>0.0</c:formatCode>
                <c:ptCount val="6"/>
                <c:pt idx="0">
                  <c:v>123.3</c:v>
                </c:pt>
                <c:pt idx="1">
                  <c:v>169</c:v>
                </c:pt>
                <c:pt idx="2">
                  <c:v>139.19999999999999</c:v>
                </c:pt>
                <c:pt idx="3">
                  <c:v>120.1</c:v>
                </c:pt>
                <c:pt idx="4" formatCode="General">
                  <c:v>180.5</c:v>
                </c:pt>
                <c:pt idx="5" formatCode="General">
                  <c:v>294.3</c:v>
                </c:pt>
              </c:numCache>
            </c:numRef>
          </c:val>
        </c:ser>
        <c:axId val="146178816"/>
        <c:axId val="146180736"/>
      </c:barChart>
      <c:catAx>
        <c:axId val="146178816"/>
        <c:scaling>
          <c:orientation val="minMax"/>
        </c:scaling>
        <c:axPos val="b"/>
        <c:title>
          <c:tx>
            <c:rich>
              <a:bodyPr/>
              <a:lstStyle/>
              <a:p>
                <a:pPr>
                  <a:defRPr/>
                </a:pPr>
                <a:r>
                  <a:rPr lang="en-US"/>
                  <a:t>Year</a:t>
                </a:r>
                <a:endParaRPr lang="ar-SA"/>
              </a:p>
            </c:rich>
          </c:tx>
          <c:layout>
            <c:manualLayout>
              <c:xMode val="edge"/>
              <c:yMode val="edge"/>
              <c:x val="0.49586633207031072"/>
              <c:y val="0.9069144859096735"/>
            </c:manualLayout>
          </c:layout>
        </c:title>
        <c:numFmt formatCode="General" sourceLinked="1"/>
        <c:tickLblPos val="nextTo"/>
        <c:txPr>
          <a:bodyPr rot="0" vert="horz"/>
          <a:lstStyle/>
          <a:p>
            <a:pPr>
              <a:defRPr/>
            </a:pPr>
            <a:endParaRPr lang="en-US"/>
          </a:p>
        </c:txPr>
        <c:crossAx val="146180736"/>
        <c:crosses val="autoZero"/>
        <c:auto val="1"/>
        <c:lblAlgn val="ctr"/>
        <c:lblOffset val="100"/>
        <c:tickLblSkip val="1"/>
        <c:tickMarkSkip val="1"/>
      </c:catAx>
      <c:valAx>
        <c:axId val="146180736"/>
        <c:scaling>
          <c:orientation val="minMax"/>
          <c:max val="2400"/>
        </c:scaling>
        <c:axPos val="l"/>
        <c:title>
          <c:tx>
            <c:rich>
              <a:bodyPr/>
              <a:lstStyle/>
              <a:p>
                <a:pPr>
                  <a:defRPr/>
                </a:pPr>
                <a:r>
                  <a:rPr lang="en-US"/>
                  <a:t>USD Million</a:t>
                </a:r>
              </a:p>
            </c:rich>
          </c:tx>
          <c:layout>
            <c:manualLayout>
              <c:xMode val="edge"/>
              <c:yMode val="edge"/>
              <c:x val="1.796839120024913E-2"/>
              <c:y val="0.23282177180323937"/>
            </c:manualLayout>
          </c:layout>
        </c:title>
        <c:numFmt formatCode="#,##0" sourceLinked="0"/>
        <c:tickLblPos val="nextTo"/>
        <c:txPr>
          <a:bodyPr rot="0" vert="horz"/>
          <a:lstStyle/>
          <a:p>
            <a:pPr>
              <a:defRPr/>
            </a:pPr>
            <a:endParaRPr lang="en-US"/>
          </a:p>
        </c:txPr>
        <c:crossAx val="146178816"/>
        <c:crosses val="autoZero"/>
        <c:crossBetween val="between"/>
        <c:majorUnit val="300"/>
      </c:valAx>
    </c:plotArea>
    <c:legend>
      <c:legendPos val="b"/>
      <c:layout>
        <c:manualLayout>
          <c:xMode val="edge"/>
          <c:yMode val="edge"/>
          <c:x val="0.19271114885584267"/>
          <c:y val="2.8033946397405852E-2"/>
          <c:w val="0.72385251698140163"/>
          <c:h val="8.5005365260618276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94248761974875"/>
          <c:y val="0.12248850879754535"/>
          <c:w val="0.82814741162873806"/>
          <c:h val="0.68966328236632435"/>
        </c:manualLayout>
      </c:layout>
      <c:barChart>
        <c:barDir val="col"/>
        <c:grouping val="clustered"/>
        <c:ser>
          <c:idx val="0"/>
          <c:order val="0"/>
          <c:tx>
            <c:strRef>
              <c:f>'Rep 2018'!$A$2</c:f>
              <c:strCache>
                <c:ptCount val="1"/>
                <c:pt idx="0">
                  <c:v>Received current  transfers  </c:v>
                </c:pt>
              </c:strCache>
            </c:strRef>
          </c:tx>
          <c:spPr>
            <a:solidFill>
              <a:srgbClr val="00B05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2018'!$F$2:$K$2</c:f>
              <c:numCache>
                <c:formatCode>#,##0.0</c:formatCode>
                <c:ptCount val="6"/>
                <c:pt idx="0">
                  <c:v>1862.8999999999999</c:v>
                </c:pt>
                <c:pt idx="1">
                  <c:v>2013.2</c:v>
                </c:pt>
                <c:pt idx="2" formatCode="0.0">
                  <c:v>1875.4</c:v>
                </c:pt>
                <c:pt idx="3" formatCode="0.0">
                  <c:v>1897.4</c:v>
                </c:pt>
                <c:pt idx="4" formatCode="General">
                  <c:v>2112.8000000000002</c:v>
                </c:pt>
                <c:pt idx="5" formatCode="#,##0.00">
                  <c:v>2143</c:v>
                </c:pt>
              </c:numCache>
            </c:numRef>
          </c:val>
        </c:ser>
        <c:ser>
          <c:idx val="1"/>
          <c:order val="1"/>
          <c:tx>
            <c:strRef>
              <c:f>'Rep 2018'!$A$3</c:f>
              <c:strCache>
                <c:ptCount val="1"/>
                <c:pt idx="0">
                  <c:v>Received  capital transfers </c:v>
                </c:pt>
              </c:strCache>
            </c:strRef>
          </c:tx>
          <c:spPr>
            <a:solidFill>
              <a:srgbClr val="C0000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2018'!$F$3:$K$3</c:f>
              <c:numCache>
                <c:formatCode>0.0</c:formatCode>
                <c:ptCount val="6"/>
                <c:pt idx="0">
                  <c:v>551.29999999999995</c:v>
                </c:pt>
                <c:pt idx="1">
                  <c:v>691</c:v>
                </c:pt>
                <c:pt idx="2">
                  <c:v>509.6</c:v>
                </c:pt>
                <c:pt idx="3">
                  <c:v>694.6</c:v>
                </c:pt>
                <c:pt idx="4" formatCode="General">
                  <c:v>397.1</c:v>
                </c:pt>
                <c:pt idx="5" formatCode="General">
                  <c:v>388.9</c:v>
                </c:pt>
              </c:numCache>
            </c:numRef>
          </c:val>
        </c:ser>
        <c:axId val="159603712"/>
        <c:axId val="159614080"/>
      </c:barChart>
      <c:catAx>
        <c:axId val="159603712"/>
        <c:scaling>
          <c:orientation val="minMax"/>
        </c:scaling>
        <c:axPos val="b"/>
        <c:title>
          <c:tx>
            <c:rich>
              <a:bodyPr/>
              <a:lstStyle/>
              <a:p>
                <a:pPr>
                  <a:defRPr/>
                </a:pPr>
                <a:r>
                  <a:rPr lang="en-US"/>
                  <a:t>Year</a:t>
                </a:r>
                <a:endParaRPr lang="ar-SA"/>
              </a:p>
            </c:rich>
          </c:tx>
          <c:layout>
            <c:manualLayout>
              <c:xMode val="edge"/>
              <c:yMode val="edge"/>
              <c:x val="0.51356543098041951"/>
              <c:y val="0.90769372867418519"/>
            </c:manualLayout>
          </c:layout>
        </c:title>
        <c:numFmt formatCode="General" sourceLinked="1"/>
        <c:tickLblPos val="nextTo"/>
        <c:txPr>
          <a:bodyPr rot="0" vert="horz"/>
          <a:lstStyle/>
          <a:p>
            <a:pPr>
              <a:defRPr/>
            </a:pPr>
            <a:endParaRPr lang="en-US"/>
          </a:p>
        </c:txPr>
        <c:crossAx val="159614080"/>
        <c:crosses val="autoZero"/>
        <c:auto val="1"/>
        <c:lblAlgn val="ctr"/>
        <c:lblOffset val="100"/>
        <c:tickLblSkip val="1"/>
        <c:tickMarkSkip val="1"/>
      </c:catAx>
      <c:valAx>
        <c:axId val="159614080"/>
        <c:scaling>
          <c:orientation val="minMax"/>
          <c:max val="3000"/>
        </c:scaling>
        <c:axPos val="l"/>
        <c:title>
          <c:tx>
            <c:rich>
              <a:bodyPr/>
              <a:lstStyle/>
              <a:p>
                <a:pPr>
                  <a:defRPr/>
                </a:pPr>
                <a:r>
                  <a:rPr lang="en-US"/>
                  <a:t>USD Million</a:t>
                </a:r>
              </a:p>
            </c:rich>
          </c:tx>
          <c:layout>
            <c:manualLayout>
              <c:xMode val="edge"/>
              <c:yMode val="edge"/>
              <c:x val="1.796839120024913E-2"/>
              <c:y val="0.23282177180323937"/>
            </c:manualLayout>
          </c:layout>
        </c:title>
        <c:numFmt formatCode="#,##0" sourceLinked="0"/>
        <c:tickLblPos val="nextTo"/>
        <c:txPr>
          <a:bodyPr rot="0" vert="horz"/>
          <a:lstStyle/>
          <a:p>
            <a:pPr>
              <a:defRPr/>
            </a:pPr>
            <a:endParaRPr lang="en-US"/>
          </a:p>
        </c:txPr>
        <c:crossAx val="159603712"/>
        <c:crosses val="autoZero"/>
        <c:crossBetween val="between"/>
      </c:valAx>
    </c:plotArea>
    <c:legend>
      <c:legendPos val="b"/>
      <c:layout>
        <c:manualLayout>
          <c:xMode val="edge"/>
          <c:yMode val="edge"/>
          <c:x val="0.19879652716244595"/>
          <c:y val="1.9319573022514885E-2"/>
          <c:w val="0.72385251698140163"/>
          <c:h val="9.4345678273105582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33571288248443104"/>
          <c:y val="0.16135064828659787"/>
          <c:w val="0.32857423503114136"/>
          <c:h val="0.76054157022592761"/>
        </c:manualLayout>
      </c:layout>
      <c:pieChart>
        <c:varyColors val="1"/>
        <c:ser>
          <c:idx val="0"/>
          <c:order val="0"/>
          <c:tx>
            <c:strRef>
              <c:f>'2018'!$B$1</c:f>
              <c:strCache>
                <c:ptCount val="1"/>
                <c:pt idx="0">
                  <c:v>Column1</c:v>
                </c:pt>
              </c:strCache>
            </c:strRef>
          </c:tx>
          <c:explosion val="25"/>
          <c:dPt>
            <c:idx val="0"/>
            <c:explosion val="9"/>
          </c:dPt>
          <c:dPt>
            <c:idx val="1"/>
            <c:explosion val="0"/>
          </c:dPt>
          <c:dPt>
            <c:idx val="3"/>
            <c:explosion val="26"/>
          </c:dPt>
          <c:dLbls>
            <c:dLbl>
              <c:idx val="0"/>
              <c:layout>
                <c:manualLayout>
                  <c:x val="4.4150110375275886E-2"/>
                  <c:y val="-0.125"/>
                </c:manualLayout>
              </c:layout>
              <c:numFmt formatCode="0.0%" sourceLinked="0"/>
              <c:spPr/>
              <c:txPr>
                <a:bodyPr/>
                <a:lstStyle/>
                <a:p>
                  <a:pPr>
                    <a:defRPr sz="900">
                      <a:latin typeface="Arial" pitchFamily="34" charset="0"/>
                      <a:ea typeface="Adobe Ming Std L" pitchFamily="18" charset="-128"/>
                      <a:cs typeface="Arial" pitchFamily="34" charset="0"/>
                    </a:defRPr>
                  </a:pPr>
                  <a:endParaRPr lang="en-US"/>
                </a:p>
              </c:txPr>
              <c:dLblPos val="bestFit"/>
              <c:showVal val="1"/>
              <c:showCatName val="1"/>
              <c:separator> </c:separator>
            </c:dLbl>
            <c:dLbl>
              <c:idx val="1"/>
              <c:layout>
                <c:manualLayout>
                  <c:x val="-5.1790686760181504E-2"/>
                  <c:y val="3.7541420603674852E-2"/>
                </c:manualLayout>
              </c:layout>
              <c:showVal val="1"/>
              <c:showCatName val="1"/>
              <c:separator> </c:separator>
            </c:dLbl>
            <c:dLbl>
              <c:idx val="2"/>
              <c:layout>
                <c:manualLayout>
                  <c:x val="-0.10780587856981456"/>
                  <c:y val="-6.7171214063358353E-2"/>
                </c:manualLayout>
              </c:layout>
              <c:spPr/>
              <c:txPr>
                <a:bodyPr/>
                <a:lstStyle/>
                <a:p>
                  <a:pPr rtl="1">
                    <a:defRPr sz="900">
                      <a:latin typeface="Arial" pitchFamily="34" charset="0"/>
                      <a:ea typeface="Adobe Ming Std L" pitchFamily="18" charset="-128"/>
                      <a:cs typeface="Arial" pitchFamily="34" charset="0"/>
                    </a:defRPr>
                  </a:pPr>
                  <a:endParaRPr lang="en-US"/>
                </a:p>
              </c:txPr>
              <c:showVal val="1"/>
              <c:showCatName val="1"/>
              <c:separator> </c:separator>
            </c:dLbl>
            <c:dLbl>
              <c:idx val="3"/>
              <c:dLblPos val="bestFit"/>
              <c:showVal val="1"/>
              <c:showCatName val="1"/>
              <c:separator> </c:separator>
            </c:dLbl>
            <c:txPr>
              <a:bodyPr/>
              <a:lstStyle/>
              <a:p>
                <a:pPr>
                  <a:defRPr sz="900">
                    <a:latin typeface="Arial" pitchFamily="34" charset="0"/>
                    <a:ea typeface="Adobe Ming Std L" pitchFamily="18" charset="-128"/>
                    <a:cs typeface="Arial" pitchFamily="34" charset="0"/>
                  </a:defRPr>
                </a:pPr>
                <a:endParaRPr lang="en-US"/>
              </a:p>
            </c:txPr>
            <c:showVal val="1"/>
            <c:showCatName val="1"/>
            <c:separator> </c:separator>
            <c:showLeaderLines val="1"/>
          </c:dLbls>
          <c:cat>
            <c:strRef>
              <c:f>'2018'!$A$2:$A$5</c:f>
              <c:strCache>
                <c:ptCount val="4"/>
                <c:pt idx="0">
                  <c:v>Other Investments Abroad</c:v>
                </c:pt>
                <c:pt idx="1">
                  <c:v>Portfolio Investments Abroad</c:v>
                </c:pt>
                <c:pt idx="2">
                  <c:v>Reserve Assets</c:v>
                </c:pt>
                <c:pt idx="3">
                  <c:v>Foreign Direct Investment Abroad</c:v>
                </c:pt>
              </c:strCache>
            </c:strRef>
          </c:cat>
          <c:val>
            <c:numRef>
              <c:f>'2018'!$B$2:$B$5</c:f>
              <c:numCache>
                <c:formatCode>0.0%</c:formatCode>
                <c:ptCount val="4"/>
                <c:pt idx="0">
                  <c:v>0.6460000000000099</c:v>
                </c:pt>
                <c:pt idx="1">
                  <c:v>0.22</c:v>
                </c:pt>
                <c:pt idx="2">
                  <c:v>8.1000000000000003E-2</c:v>
                </c:pt>
                <c:pt idx="3">
                  <c:v>5.3000000000000012E-2</c:v>
                </c:pt>
              </c:numCache>
            </c:numRef>
          </c:val>
        </c:ser>
        <c:dLbls>
          <c:showCatName val="1"/>
          <c:showPercent val="1"/>
        </c:dLbls>
        <c:firstSliceAng val="0"/>
      </c:pieChart>
    </c:plotArea>
    <c:plotVisOnly val="1"/>
  </c:chart>
  <c:spPr>
    <a:ln w="12700">
      <a:no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31856533457196584"/>
          <c:y val="0.16960229501873281"/>
          <c:w val="0.36062807422759691"/>
          <c:h val="0.74927125675302353"/>
        </c:manualLayout>
      </c:layout>
      <c:pieChart>
        <c:varyColors val="1"/>
        <c:ser>
          <c:idx val="0"/>
          <c:order val="0"/>
          <c:tx>
            <c:strRef>
              <c:f>'2018'!$B$1</c:f>
              <c:strCache>
                <c:ptCount val="1"/>
                <c:pt idx="0">
                  <c:v>Column1</c:v>
                </c:pt>
              </c:strCache>
            </c:strRef>
          </c:tx>
          <c:explosion val="25"/>
          <c:dPt>
            <c:idx val="0"/>
            <c:explosion val="6"/>
          </c:dPt>
          <c:dPt>
            <c:idx val="1"/>
            <c:explosion val="8"/>
          </c:dPt>
          <c:dPt>
            <c:idx val="2"/>
            <c:explosion val="15"/>
          </c:dPt>
          <c:dPt>
            <c:idx val="3"/>
            <c:explosion val="26"/>
          </c:dPt>
          <c:dLbls>
            <c:dLbl>
              <c:idx val="0"/>
              <c:layout>
                <c:manualLayout>
                  <c:x val="4.4150110375275886E-2"/>
                  <c:y val="-0.125"/>
                </c:manualLayout>
              </c:layout>
              <c:numFmt formatCode="0.0%" sourceLinked="0"/>
              <c:spPr/>
              <c:txPr>
                <a:bodyPr/>
                <a:lstStyle/>
                <a:p>
                  <a:pPr>
                    <a:defRPr sz="900">
                      <a:latin typeface="Arial" pitchFamily="34" charset="0"/>
                      <a:ea typeface="Adobe Ming Std L" pitchFamily="18" charset="-128"/>
                      <a:cs typeface="Arial" pitchFamily="34" charset="0"/>
                    </a:defRPr>
                  </a:pPr>
                  <a:endParaRPr lang="en-US"/>
                </a:p>
              </c:txPr>
              <c:dLblPos val="bestFit"/>
              <c:showVal val="1"/>
              <c:showCatName val="1"/>
              <c:separator> </c:separator>
            </c:dLbl>
            <c:dLbl>
              <c:idx val="1"/>
              <c:layout>
                <c:manualLayout>
                  <c:x val="-5.1790686760181504E-2"/>
                  <c:y val="3.7541420603674852E-2"/>
                </c:manualLayout>
              </c:layout>
              <c:showVal val="1"/>
              <c:showCatName val="1"/>
              <c:separator> </c:separator>
            </c:dLbl>
            <c:dLbl>
              <c:idx val="2"/>
              <c:layout>
                <c:manualLayout>
                  <c:x val="-0.10780603212161979"/>
                  <c:y val="-2.4547739190950171E-2"/>
                </c:manualLayout>
              </c:layout>
              <c:spPr/>
              <c:txPr>
                <a:bodyPr/>
                <a:lstStyle/>
                <a:p>
                  <a:pPr rtl="1">
                    <a:defRPr sz="900">
                      <a:latin typeface="Arial" pitchFamily="34" charset="0"/>
                      <a:ea typeface="Adobe Ming Std L" pitchFamily="18" charset="-128"/>
                      <a:cs typeface="Arial" pitchFamily="34" charset="0"/>
                    </a:defRPr>
                  </a:pPr>
                  <a:endParaRPr lang="en-US"/>
                </a:p>
              </c:txPr>
              <c:showVal val="1"/>
              <c:showCatName val="1"/>
              <c:separator> </c:separator>
            </c:dLbl>
            <c:dLbl>
              <c:idx val="3"/>
              <c:dLblPos val="bestFit"/>
              <c:showVal val="1"/>
              <c:showCatName val="1"/>
              <c:separator> </c:separator>
            </c:dLbl>
            <c:txPr>
              <a:bodyPr/>
              <a:lstStyle/>
              <a:p>
                <a:pPr>
                  <a:defRPr sz="900">
                    <a:latin typeface="Arial" pitchFamily="34" charset="0"/>
                    <a:ea typeface="Adobe Ming Std L" pitchFamily="18" charset="-128"/>
                    <a:cs typeface="Arial" pitchFamily="34" charset="0"/>
                  </a:defRPr>
                </a:pPr>
                <a:endParaRPr lang="en-US"/>
              </a:p>
            </c:txPr>
            <c:showVal val="1"/>
            <c:showCatName val="1"/>
            <c:separator> </c:separator>
            <c:showLeaderLines val="1"/>
          </c:dLbls>
          <c:cat>
            <c:strRef>
              <c:f>'2018'!$A$2:$A$5</c:f>
              <c:strCache>
                <c:ptCount val="3"/>
                <c:pt idx="0">
                  <c:v>Foreign Direct Investment in Palestine</c:v>
                </c:pt>
                <c:pt idx="1">
                  <c:v>Foreign Other Investments in Palestine</c:v>
                </c:pt>
                <c:pt idx="2">
                  <c:v>Foreign Portfolio Investments in Palestine</c:v>
                </c:pt>
              </c:strCache>
            </c:strRef>
          </c:cat>
          <c:val>
            <c:numRef>
              <c:f>'2018'!$B$2:$B$5</c:f>
              <c:numCache>
                <c:formatCode>0.0%</c:formatCode>
                <c:ptCount val="4"/>
                <c:pt idx="0">
                  <c:v>0.55100000000000005</c:v>
                </c:pt>
                <c:pt idx="1">
                  <c:v>0.30200000000000032</c:v>
                </c:pt>
                <c:pt idx="2">
                  <c:v>0.14700000000000021</c:v>
                </c:pt>
              </c:numCache>
            </c:numRef>
          </c:val>
        </c:ser>
        <c:dLbls>
          <c:showCatName val="1"/>
          <c:showPercent val="1"/>
        </c:dLbls>
        <c:firstSliceAng val="0"/>
      </c:pieChart>
    </c:plotArea>
    <c:plotVisOnly val="1"/>
  </c:chart>
  <c:spPr>
    <a:ln w="12700">
      <a:no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30929115525634254"/>
          <c:y val="0.17846952947104641"/>
          <c:w val="0.35969019597705038"/>
          <c:h val="0.78538762749839575"/>
        </c:manualLayout>
      </c:layout>
      <c:pieChart>
        <c:varyColors val="1"/>
        <c:ser>
          <c:idx val="0"/>
          <c:order val="0"/>
          <c:tx>
            <c:strRef>
              <c:f>Sheet1!$B$1</c:f>
              <c:strCache>
                <c:ptCount val="1"/>
                <c:pt idx="0">
                  <c:v>Sales</c:v>
                </c:pt>
              </c:strCache>
            </c:strRef>
          </c:tx>
          <c:explosion val="25"/>
          <c:dPt>
            <c:idx val="0"/>
            <c:explosion val="12"/>
          </c:dPt>
          <c:dPt>
            <c:idx val="1"/>
            <c:explosion val="6"/>
          </c:dPt>
          <c:dLbls>
            <c:dLbl>
              <c:idx val="0"/>
              <c:layout>
                <c:manualLayout>
                  <c:x val="8.5022850459724825E-2"/>
                  <c:y val="3.3939841794224011E-2"/>
                </c:manualLayout>
              </c:layout>
              <c:showCatName val="1"/>
              <c:showPercent val="1"/>
            </c:dLbl>
            <c:dLbl>
              <c:idx val="1"/>
              <c:layout>
                <c:manualLayout>
                  <c:x val="-9.5346029604919058E-2"/>
                  <c:y val="-4.8751618172224322E-2"/>
                </c:manualLayout>
              </c:layout>
              <c:showCatName val="1"/>
              <c:showPercent val="1"/>
            </c:dLbl>
            <c:dLbl>
              <c:idx val="2"/>
              <c:layout>
                <c:manualLayout>
                  <c:x val="-0.14468945326723531"/>
                  <c:y val="5.2491781681767033E-2"/>
                </c:manualLayout>
              </c:layout>
              <c:showCatName val="1"/>
              <c:showPercent val="1"/>
            </c:dLbl>
            <c:dLbl>
              <c:idx val="3"/>
              <c:layout>
                <c:manualLayout>
                  <c:x val="0.19675395428976378"/>
                  <c:y val="1.3178396892637781E-3"/>
                </c:manualLayout>
              </c:layout>
              <c:tx>
                <c:rich>
                  <a:bodyPr/>
                  <a:lstStyle/>
                  <a:p>
                    <a:r>
                      <a:rPr lang="en-US" sz="900">
                        <a:latin typeface="Arial" pitchFamily="34" charset="0"/>
                        <a:cs typeface="Arial" pitchFamily="34" charset="0"/>
                      </a:rPr>
                      <a:t>D</a:t>
                    </a:r>
                    <a:r>
                      <a:rPr lang="en-US"/>
                      <a:t>irect investment</a:t>
                    </a:r>
                    <a:r>
                      <a:rPr lang="en-US" baseline="0"/>
                      <a:t> (</a:t>
                    </a:r>
                    <a:r>
                      <a:rPr lang="en-US"/>
                      <a:t>lending between affiliated companies</a:t>
                    </a:r>
                    <a:r>
                      <a:rPr lang="ar-SA"/>
                      <a:t>(</a:t>
                    </a:r>
                    <a:r>
                      <a:rPr lang="en-US"/>
                      <a:t>
2.9%</a:t>
                    </a:r>
                  </a:p>
                </c:rich>
              </c:tx>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Sheet1!$A$2:$A$5</c:f>
              <c:strCache>
                <c:ptCount val="4"/>
                <c:pt idx="0">
                  <c:v>Central Government</c:v>
                </c:pt>
                <c:pt idx="1">
                  <c:v>Banks</c:v>
                </c:pt>
                <c:pt idx="2">
                  <c:v>Other Sectors </c:v>
                </c:pt>
                <c:pt idx="3">
                  <c:v>Direct investment: lending between affiliated companies</c:v>
                </c:pt>
              </c:strCache>
            </c:strRef>
          </c:cat>
          <c:val>
            <c:numRef>
              <c:f>Sheet1!$B$2:$B$5</c:f>
              <c:numCache>
                <c:formatCode>General</c:formatCode>
                <c:ptCount val="4"/>
                <c:pt idx="0" formatCode="#,##0">
                  <c:v>1032</c:v>
                </c:pt>
                <c:pt idx="1">
                  <c:v>417</c:v>
                </c:pt>
                <c:pt idx="2">
                  <c:v>42</c:v>
                </c:pt>
                <c:pt idx="3">
                  <c:v>44</c:v>
                </c:pt>
              </c:numCache>
            </c:numRef>
          </c:val>
        </c:ser>
        <c:firstSliceAng val="0"/>
      </c:pieChart>
    </c:plotArea>
    <c:plotVisOnly val="1"/>
  </c:chart>
  <c:spPr>
    <a:ln w="12700">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37501012274149931"/>
          <c:y val="5.4874916754808933E-2"/>
          <c:w val="0.53524747279024454"/>
          <c:h val="0.80045751469564708"/>
        </c:manualLayout>
      </c:layout>
      <c:barChart>
        <c:barDir val="bar"/>
        <c:grouping val="clustered"/>
        <c:ser>
          <c:idx val="0"/>
          <c:order val="0"/>
          <c:tx>
            <c:strRef>
              <c:f>Sheet1!$B$2</c:f>
              <c:strCache>
                <c:ptCount val="1"/>
                <c:pt idx="0">
                  <c:v>Gaza Strip</c:v>
                </c:pt>
              </c:strCache>
            </c:strRef>
          </c:tx>
          <c:spPr>
            <a:solidFill>
              <a:srgbClr val="92D050"/>
            </a:solidFill>
          </c:spPr>
          <c:dLbls>
            <c:dLbl>
              <c:idx val="1"/>
              <c:layout>
                <c:manualLayout>
                  <c:x val="2.2043720160701092E-3"/>
                  <c:y val="2.0606655057169406E-2"/>
                </c:manualLayout>
              </c:layout>
              <c:showVal val="1"/>
            </c:dLbl>
            <c:dLbl>
              <c:idx val="2"/>
              <c:layout>
                <c:manualLayout>
                  <c:x val="0"/>
                  <c:y val="1.0303327528584635E-2"/>
                </c:manualLayout>
              </c:layout>
              <c:showVal val="1"/>
            </c:dLbl>
            <c:dLbl>
              <c:idx val="3"/>
              <c:layout>
                <c:manualLayout>
                  <c:x val="0"/>
                  <c:y val="2.0606655057169292E-2"/>
                </c:manualLayout>
              </c:layout>
              <c:showVal val="1"/>
            </c:dLbl>
            <c:dLbl>
              <c:idx val="4"/>
              <c:layout>
                <c:manualLayout>
                  <c:x val="0"/>
                  <c:y val="2.0606655057169292E-2"/>
                </c:manualLayout>
              </c:layout>
              <c:showVal val="1"/>
            </c:dLbl>
            <c:dLbl>
              <c:idx val="5"/>
              <c:layout>
                <c:manualLayout>
                  <c:x val="0"/>
                  <c:y val="2.0606655057169292E-2"/>
                </c:manualLayout>
              </c:layout>
              <c:showVal val="1"/>
            </c:dLbl>
            <c:dLbl>
              <c:idx val="6"/>
              <c:layout>
                <c:manualLayout>
                  <c:x val="2.2043720160701092E-3"/>
                  <c:y val="5.1516637642928138E-3"/>
                </c:manualLayout>
              </c:layout>
              <c:showVal val="1"/>
            </c:dLbl>
            <c:showVal val="1"/>
          </c:dLbls>
          <c:cat>
            <c:strRef>
              <c:f>Sheet1!$A$3:$A$9</c:f>
              <c:strCache>
                <c:ptCount val="7"/>
                <c:pt idx="0">
                  <c:v>Services and Other Branches</c:v>
                </c:pt>
                <c:pt idx="1">
                  <c:v>Wholesale and Retail Trade</c:v>
                </c:pt>
                <c:pt idx="2">
                  <c:v>Industry</c:v>
                </c:pt>
                <c:pt idx="3">
                  <c:v>Construction</c:v>
                </c:pt>
                <c:pt idx="4">
                  <c:v>Agriculture</c:v>
                </c:pt>
                <c:pt idx="5">
                  <c:v>Transportation and Storage</c:v>
                </c:pt>
                <c:pt idx="6">
                  <c:v>Information and Communications</c:v>
                </c:pt>
              </c:strCache>
            </c:strRef>
          </c:cat>
          <c:val>
            <c:numRef>
              <c:f>Sheet1!$B$3:$B$9</c:f>
              <c:numCache>
                <c:formatCode>0.0</c:formatCode>
                <c:ptCount val="7"/>
                <c:pt idx="0">
                  <c:v>45.7</c:v>
                </c:pt>
                <c:pt idx="1">
                  <c:v>25.5</c:v>
                </c:pt>
                <c:pt idx="2">
                  <c:v>10.3</c:v>
                </c:pt>
                <c:pt idx="3">
                  <c:v>6.5</c:v>
                </c:pt>
                <c:pt idx="4">
                  <c:v>4.8</c:v>
                </c:pt>
                <c:pt idx="5">
                  <c:v>2</c:v>
                </c:pt>
                <c:pt idx="6">
                  <c:v>0.5</c:v>
                </c:pt>
              </c:numCache>
            </c:numRef>
          </c:val>
        </c:ser>
        <c:ser>
          <c:idx val="1"/>
          <c:order val="1"/>
          <c:tx>
            <c:strRef>
              <c:f>Sheet1!$C$2</c:f>
              <c:strCache>
                <c:ptCount val="1"/>
                <c:pt idx="0">
                  <c:v>West Bank</c:v>
                </c:pt>
              </c:strCache>
            </c:strRef>
          </c:tx>
          <c:spPr>
            <a:solidFill>
              <a:srgbClr val="C00000"/>
            </a:solidFill>
          </c:spPr>
          <c:dLbls>
            <c:dLbl>
              <c:idx val="0"/>
              <c:layout>
                <c:manualLayout>
                  <c:x val="6.7276739640059029E-3"/>
                  <c:y val="-1.0303733171400719E-2"/>
                </c:manualLayout>
              </c:layout>
              <c:showVal val="1"/>
            </c:dLbl>
            <c:dLbl>
              <c:idx val="1"/>
              <c:layout>
                <c:manualLayout>
                  <c:x val="8.9696154277385566E-3"/>
                  <c:y val="0"/>
                </c:manualLayout>
              </c:layout>
              <c:showVal val="1"/>
            </c:dLbl>
            <c:dLbl>
              <c:idx val="2"/>
              <c:layout>
                <c:manualLayout>
                  <c:x val="4.4848077138692904E-3"/>
                  <c:y val="0"/>
                </c:manualLayout>
              </c:layout>
              <c:showVal val="1"/>
            </c:dLbl>
            <c:dLbl>
              <c:idx val="4"/>
              <c:layout>
                <c:manualLayout>
                  <c:x val="0"/>
                  <c:y val="0"/>
                </c:manualLayout>
              </c:layout>
              <c:showVal val="1"/>
            </c:dLbl>
            <c:showVal val="1"/>
          </c:dLbls>
          <c:cat>
            <c:strRef>
              <c:f>Sheet1!$A$3:$A$9</c:f>
              <c:strCache>
                <c:ptCount val="7"/>
                <c:pt idx="0">
                  <c:v>Services and Other Branches</c:v>
                </c:pt>
                <c:pt idx="1">
                  <c:v>Wholesale and Retail Trade</c:v>
                </c:pt>
                <c:pt idx="2">
                  <c:v>Industry</c:v>
                </c:pt>
                <c:pt idx="3">
                  <c:v>Construction</c:v>
                </c:pt>
                <c:pt idx="4">
                  <c:v>Agriculture</c:v>
                </c:pt>
                <c:pt idx="5">
                  <c:v>Transportation and Storage</c:v>
                </c:pt>
                <c:pt idx="6">
                  <c:v>Information and Communications</c:v>
                </c:pt>
              </c:strCache>
            </c:strRef>
          </c:cat>
          <c:val>
            <c:numRef>
              <c:f>Sheet1!$C$3:$C$9</c:f>
              <c:numCache>
                <c:formatCode>0.0</c:formatCode>
                <c:ptCount val="7"/>
                <c:pt idx="0">
                  <c:v>35.5</c:v>
                </c:pt>
                <c:pt idx="1">
                  <c:v>19.399999999999999</c:v>
                </c:pt>
                <c:pt idx="2">
                  <c:v>14</c:v>
                </c:pt>
                <c:pt idx="3">
                  <c:v>6.6</c:v>
                </c:pt>
                <c:pt idx="4">
                  <c:v>2.6</c:v>
                </c:pt>
                <c:pt idx="5">
                  <c:v>1.7</c:v>
                </c:pt>
                <c:pt idx="6">
                  <c:v>4.3</c:v>
                </c:pt>
              </c:numCache>
            </c:numRef>
          </c:val>
        </c:ser>
        <c:axId val="140903936"/>
        <c:axId val="140905856"/>
      </c:barChart>
      <c:catAx>
        <c:axId val="140903936"/>
        <c:scaling>
          <c:orientation val="minMax"/>
        </c:scaling>
        <c:axPos val="l"/>
        <c:title>
          <c:tx>
            <c:rich>
              <a:bodyPr rot="-5400000" vert="horz"/>
              <a:lstStyle/>
              <a:p>
                <a:pPr>
                  <a:defRPr/>
                </a:pPr>
                <a:r>
                  <a:rPr lang="en-GB"/>
                  <a:t>Economic activity</a:t>
                </a:r>
                <a:endParaRPr lang="ar-SA"/>
              </a:p>
            </c:rich>
          </c:tx>
          <c:layout>
            <c:manualLayout>
              <c:xMode val="edge"/>
              <c:yMode val="edge"/>
              <c:x val="4.6412900108960813E-2"/>
              <c:y val="0.31202971832996518"/>
            </c:manualLayout>
          </c:layout>
        </c:title>
        <c:numFmt formatCode="General" sourceLinked="1"/>
        <c:tickLblPos val="nextTo"/>
        <c:txPr>
          <a:bodyPr rot="0" vert="horz"/>
          <a:lstStyle/>
          <a:p>
            <a:pPr>
              <a:defRPr/>
            </a:pPr>
            <a:endParaRPr lang="en-US"/>
          </a:p>
        </c:txPr>
        <c:crossAx val="140905856"/>
        <c:crosses val="autoZero"/>
        <c:auto val="1"/>
        <c:lblAlgn val="ctr"/>
        <c:lblOffset val="100"/>
        <c:tickLblSkip val="1"/>
        <c:tickMarkSkip val="1"/>
      </c:catAx>
      <c:valAx>
        <c:axId val="140905856"/>
        <c:scaling>
          <c:orientation val="minMax"/>
          <c:max val="70"/>
          <c:min val="0"/>
        </c:scaling>
        <c:axPos val="b"/>
        <c:title>
          <c:tx>
            <c:rich>
              <a:bodyPr rot="0" vert="horz"/>
              <a:lstStyle/>
              <a:p>
                <a:pPr>
                  <a:defRPr/>
                </a:pPr>
                <a:r>
                  <a:rPr lang="en-GB"/>
                  <a:t>Percentage (%)</a:t>
                </a:r>
                <a:endParaRPr lang="ar-SA"/>
              </a:p>
            </c:rich>
          </c:tx>
          <c:layout>
            <c:manualLayout>
              <c:xMode val="edge"/>
              <c:yMode val="edge"/>
              <c:x val="0.49117140328936215"/>
              <c:y val="0.92637785709446974"/>
            </c:manualLayout>
          </c:layout>
        </c:title>
        <c:numFmt formatCode="#,##0" sourceLinked="0"/>
        <c:tickLblPos val="nextTo"/>
        <c:txPr>
          <a:bodyPr rot="0" vert="horz"/>
          <a:lstStyle/>
          <a:p>
            <a:pPr>
              <a:defRPr/>
            </a:pPr>
            <a:endParaRPr lang="en-US"/>
          </a:p>
        </c:txPr>
        <c:crossAx val="140903936"/>
        <c:crosses val="autoZero"/>
        <c:crossBetween val="between"/>
        <c:majorUnit val="10"/>
        <c:minorUnit val="1"/>
      </c:valAx>
    </c:plotArea>
    <c:legend>
      <c:legendPos val="b"/>
      <c:layout>
        <c:manualLayout>
          <c:xMode val="edge"/>
          <c:yMode val="edge"/>
          <c:x val="0.6455236147257607"/>
          <c:y val="3.9179011391667205E-2"/>
          <c:w val="0.3307704205232298"/>
          <c:h val="8.0500168003051764E-2"/>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309316583057498"/>
          <c:y val="0.1111396761463927"/>
          <c:w val="0.82632230295519271"/>
          <c:h val="0.6797332555652924"/>
        </c:manualLayout>
      </c:layout>
      <c:lineChart>
        <c:grouping val="standard"/>
        <c:ser>
          <c:idx val="1"/>
          <c:order val="0"/>
          <c:tx>
            <c:strRef>
              <c:f>'2018'!$B$1</c:f>
              <c:strCache>
                <c:ptCount val="1"/>
                <c:pt idx="0">
                  <c:v>Palestine</c:v>
                </c:pt>
              </c:strCache>
            </c:strRef>
          </c:tx>
          <c:spPr>
            <a:ln w="25400">
              <a:prstDash val="solid"/>
            </a:ln>
          </c:spPr>
          <c:marker>
            <c:symbol val="triangle"/>
            <c:size val="7"/>
            <c:spPr>
              <a:ln w="12700"/>
            </c:spPr>
          </c:marker>
          <c:dLbls>
            <c:dLbl>
              <c:idx val="0"/>
              <c:layout>
                <c:manualLayout>
                  <c:x val="-7.287320566467026E-2"/>
                  <c:y val="-9.2861746773328507E-3"/>
                </c:manualLayout>
              </c:layout>
              <c:showVal val="1"/>
            </c:dLbl>
            <c:dLbl>
              <c:idx val="5"/>
              <c:showVal val="1"/>
            </c:dLbl>
            <c:delete val="1"/>
          </c:dLbls>
          <c:cat>
            <c:numRef>
              <c:f>'2018'!$A$6:$A$11</c:f>
              <c:numCache>
                <c:formatCode>General</c:formatCode>
                <c:ptCount val="6"/>
                <c:pt idx="0">
                  <c:v>2013</c:v>
                </c:pt>
                <c:pt idx="1">
                  <c:v>2014</c:v>
                </c:pt>
                <c:pt idx="2">
                  <c:v>2015</c:v>
                </c:pt>
                <c:pt idx="3">
                  <c:v>2016</c:v>
                </c:pt>
                <c:pt idx="4">
                  <c:v>2017</c:v>
                </c:pt>
                <c:pt idx="5">
                  <c:v>2018</c:v>
                </c:pt>
              </c:numCache>
            </c:numRef>
          </c:cat>
          <c:val>
            <c:numRef>
              <c:f>'2018'!$B$6:$B$11</c:f>
              <c:numCache>
                <c:formatCode>0.0</c:formatCode>
                <c:ptCount val="6"/>
                <c:pt idx="0">
                  <c:v>23.7</c:v>
                </c:pt>
                <c:pt idx="1">
                  <c:v>27.3</c:v>
                </c:pt>
                <c:pt idx="2">
                  <c:v>26.2</c:v>
                </c:pt>
                <c:pt idx="3">
                  <c:v>27.2</c:v>
                </c:pt>
                <c:pt idx="4">
                  <c:v>28.8</c:v>
                </c:pt>
                <c:pt idx="5">
                  <c:v>31.4</c:v>
                </c:pt>
              </c:numCache>
            </c:numRef>
          </c:val>
        </c:ser>
        <c:ser>
          <c:idx val="2"/>
          <c:order val="1"/>
          <c:tx>
            <c:strRef>
              <c:f>'2018'!$C$1</c:f>
              <c:strCache>
                <c:ptCount val="1"/>
                <c:pt idx="0">
                  <c:v>West Bank</c:v>
                </c:pt>
              </c:strCache>
            </c:strRef>
          </c:tx>
          <c:spPr>
            <a:ln w="25400">
              <a:prstDash val="solid"/>
            </a:ln>
          </c:spPr>
          <c:marker>
            <c:symbol val="circle"/>
            <c:size val="7"/>
            <c:spPr>
              <a:ln w="12700"/>
            </c:spPr>
          </c:marker>
          <c:dLbls>
            <c:dLbl>
              <c:idx val="0"/>
              <c:layout>
                <c:manualLayout>
                  <c:x val="-7.7289763583741178E-2"/>
                  <c:y val="1.3929262015999274E-2"/>
                </c:manualLayout>
              </c:layout>
              <c:showVal val="1"/>
            </c:dLbl>
            <c:dLbl>
              <c:idx val="5"/>
              <c:showVal val="1"/>
            </c:dLbl>
            <c:delete val="1"/>
          </c:dLbls>
          <c:cat>
            <c:numRef>
              <c:f>'2018'!$A$6:$A$11</c:f>
              <c:numCache>
                <c:formatCode>General</c:formatCode>
                <c:ptCount val="6"/>
                <c:pt idx="0">
                  <c:v>2013</c:v>
                </c:pt>
                <c:pt idx="1">
                  <c:v>2014</c:v>
                </c:pt>
                <c:pt idx="2">
                  <c:v>2015</c:v>
                </c:pt>
                <c:pt idx="3">
                  <c:v>2016</c:v>
                </c:pt>
                <c:pt idx="4">
                  <c:v>2017</c:v>
                </c:pt>
                <c:pt idx="5">
                  <c:v>2018</c:v>
                </c:pt>
              </c:numCache>
            </c:numRef>
          </c:cat>
          <c:val>
            <c:numRef>
              <c:f>'2018'!$C$6:$C$11</c:f>
              <c:numCache>
                <c:formatCode>0.0</c:formatCode>
                <c:ptCount val="6"/>
                <c:pt idx="0">
                  <c:v>18.8</c:v>
                </c:pt>
                <c:pt idx="1">
                  <c:v>17.8</c:v>
                </c:pt>
                <c:pt idx="2">
                  <c:v>17.3</c:v>
                </c:pt>
                <c:pt idx="3">
                  <c:v>18.100000000000001</c:v>
                </c:pt>
                <c:pt idx="4">
                  <c:v>19</c:v>
                </c:pt>
                <c:pt idx="5">
                  <c:v>18</c:v>
                </c:pt>
              </c:numCache>
            </c:numRef>
          </c:val>
        </c:ser>
        <c:ser>
          <c:idx val="3"/>
          <c:order val="2"/>
          <c:tx>
            <c:strRef>
              <c:f>'2018'!$D$1</c:f>
              <c:strCache>
                <c:ptCount val="1"/>
                <c:pt idx="0">
                  <c:v>Gaza Strip</c:v>
                </c:pt>
              </c:strCache>
            </c:strRef>
          </c:tx>
          <c:spPr>
            <a:ln w="25400">
              <a:solidFill>
                <a:srgbClr val="0070C0"/>
              </a:solidFill>
            </a:ln>
          </c:spPr>
          <c:marker>
            <c:symbol val="diamond"/>
            <c:size val="7"/>
            <c:spPr>
              <a:solidFill>
                <a:srgbClr val="0070C0"/>
              </a:solidFill>
              <a:ln w="12700">
                <a:solidFill>
                  <a:srgbClr val="0070C0"/>
                </a:solidFill>
              </a:ln>
            </c:spPr>
          </c:marker>
          <c:dLbls>
            <c:dLbl>
              <c:idx val="0"/>
              <c:layout>
                <c:manualLayout>
                  <c:x val="-5.2975555986976487E-2"/>
                  <c:y val="-5.9339509210862444E-2"/>
                </c:manualLayout>
              </c:layout>
              <c:showVal val="1"/>
            </c:dLbl>
            <c:dLbl>
              <c:idx val="5"/>
              <c:showVal val="1"/>
            </c:dLbl>
            <c:delete val="1"/>
          </c:dLbls>
          <c:cat>
            <c:numRef>
              <c:f>'2018'!$A$6:$A$11</c:f>
              <c:numCache>
                <c:formatCode>General</c:formatCode>
                <c:ptCount val="6"/>
                <c:pt idx="0">
                  <c:v>2013</c:v>
                </c:pt>
                <c:pt idx="1">
                  <c:v>2014</c:v>
                </c:pt>
                <c:pt idx="2">
                  <c:v>2015</c:v>
                </c:pt>
                <c:pt idx="3">
                  <c:v>2016</c:v>
                </c:pt>
                <c:pt idx="4">
                  <c:v>2017</c:v>
                </c:pt>
                <c:pt idx="5">
                  <c:v>2018</c:v>
                </c:pt>
              </c:numCache>
            </c:numRef>
          </c:cat>
          <c:val>
            <c:numRef>
              <c:f>'2018'!$D$6:$D$11</c:f>
              <c:numCache>
                <c:formatCode>0.0</c:formatCode>
                <c:ptCount val="6"/>
                <c:pt idx="0">
                  <c:v>32.5</c:v>
                </c:pt>
                <c:pt idx="1">
                  <c:v>43.7</c:v>
                </c:pt>
                <c:pt idx="2">
                  <c:v>41</c:v>
                </c:pt>
                <c:pt idx="3">
                  <c:v>41.8</c:v>
                </c:pt>
                <c:pt idx="4">
                  <c:v>44.4</c:v>
                </c:pt>
                <c:pt idx="5">
                  <c:v>52</c:v>
                </c:pt>
              </c:numCache>
            </c:numRef>
          </c:val>
        </c:ser>
        <c:marker val="1"/>
        <c:axId val="140433664"/>
        <c:axId val="141189120"/>
      </c:lineChart>
      <c:catAx>
        <c:axId val="140433664"/>
        <c:scaling>
          <c:orientation val="minMax"/>
        </c:scaling>
        <c:axPos val="b"/>
        <c:title>
          <c:tx>
            <c:rich>
              <a:bodyPr/>
              <a:lstStyle/>
              <a:p>
                <a:pPr>
                  <a:defRPr/>
                </a:pPr>
                <a:r>
                  <a:rPr lang="en-US"/>
                  <a:t>Year</a:t>
                </a:r>
              </a:p>
            </c:rich>
          </c:tx>
          <c:layout>
            <c:manualLayout>
              <c:xMode val="edge"/>
              <c:yMode val="edge"/>
              <c:x val="0.49911142542656362"/>
              <c:y val="0.8978130042300817"/>
            </c:manualLayout>
          </c:layout>
        </c:title>
        <c:numFmt formatCode="General" sourceLinked="1"/>
        <c:tickLblPos val="nextTo"/>
        <c:txPr>
          <a:bodyPr rot="0" vert="horz"/>
          <a:lstStyle/>
          <a:p>
            <a:pPr>
              <a:defRPr/>
            </a:pPr>
            <a:endParaRPr lang="en-US"/>
          </a:p>
        </c:txPr>
        <c:crossAx val="141189120"/>
        <c:crosses val="autoZero"/>
        <c:auto val="1"/>
        <c:lblAlgn val="ctr"/>
        <c:lblOffset val="100"/>
        <c:tickLblSkip val="1"/>
        <c:tickMarkSkip val="1"/>
      </c:catAx>
      <c:valAx>
        <c:axId val="141189120"/>
        <c:scaling>
          <c:orientation val="minMax"/>
        </c:scaling>
        <c:axPos val="l"/>
        <c:title>
          <c:tx>
            <c:rich>
              <a:bodyPr/>
              <a:lstStyle/>
              <a:p>
                <a:pPr>
                  <a:defRPr/>
                </a:pPr>
                <a:r>
                  <a:rPr lang="en-US"/>
                  <a:t>Rate (%)</a:t>
                </a:r>
              </a:p>
            </c:rich>
          </c:tx>
          <c:layout>
            <c:manualLayout>
              <c:xMode val="edge"/>
              <c:yMode val="edge"/>
              <c:x val="2.8006335253304006E-2"/>
              <c:y val="0.33083924655220881"/>
            </c:manualLayout>
          </c:layout>
        </c:title>
        <c:numFmt formatCode="0.0" sourceLinked="1"/>
        <c:tickLblPos val="nextTo"/>
        <c:txPr>
          <a:bodyPr rot="0" vert="horz"/>
          <a:lstStyle/>
          <a:p>
            <a:pPr>
              <a:defRPr/>
            </a:pPr>
            <a:endParaRPr lang="en-US"/>
          </a:p>
        </c:txPr>
        <c:crossAx val="140433664"/>
        <c:crosses val="autoZero"/>
        <c:crossBetween val="between"/>
        <c:majorUnit val="10"/>
      </c:valAx>
    </c:plotArea>
    <c:legend>
      <c:legendPos val="b"/>
      <c:layout>
        <c:manualLayout>
          <c:xMode val="edge"/>
          <c:yMode val="edge"/>
          <c:x val="0.18855208983124219"/>
          <c:y val="3.3837353973230441E-2"/>
          <c:w val="0.51688333592703628"/>
          <c:h val="7.4055049467160017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31317743544276194"/>
          <c:y val="4.1684279660572712E-2"/>
          <c:w val="0.66242943448983405"/>
          <c:h val="0.75299420896405489"/>
        </c:manualLayout>
      </c:layout>
      <c:barChart>
        <c:barDir val="bar"/>
        <c:grouping val="clustered"/>
        <c:ser>
          <c:idx val="0"/>
          <c:order val="0"/>
          <c:tx>
            <c:strRef>
              <c:f>'2018'!$B$2</c:f>
              <c:strCache>
                <c:ptCount val="1"/>
                <c:pt idx="0">
                  <c:v>Gaza Strip</c:v>
                </c:pt>
              </c:strCache>
            </c:strRef>
          </c:tx>
          <c:spPr>
            <a:solidFill>
              <a:srgbClr val="92D050"/>
            </a:solidFill>
          </c:spPr>
          <c:dLbls>
            <c:dLbl>
              <c:idx val="1"/>
              <c:layout>
                <c:manualLayout>
                  <c:x val="0"/>
                  <c:y val="1.7220724260271585E-2"/>
                </c:manualLayout>
              </c:layout>
              <c:showVal val="1"/>
            </c:dLbl>
            <c:dLbl>
              <c:idx val="2"/>
              <c:layout>
                <c:manualLayout>
                  <c:x val="0"/>
                  <c:y val="1.291554319520369E-2"/>
                </c:manualLayout>
              </c:layout>
              <c:showVal val="1"/>
            </c:dLbl>
            <c:dLbl>
              <c:idx val="3"/>
              <c:layout>
                <c:manualLayout>
                  <c:x val="0"/>
                  <c:y val="1.291554319520369E-2"/>
                </c:manualLayout>
              </c:layout>
              <c:showVal val="1"/>
            </c:dLbl>
            <c:dLbl>
              <c:idx val="4"/>
              <c:layout>
                <c:manualLayout>
                  <c:x val="4.4331153718275519E-3"/>
                  <c:y val="6.8376068376068393E-3"/>
                </c:manualLayout>
              </c:layout>
              <c:showVal val="1"/>
            </c:dLbl>
            <c:dLbl>
              <c:idx val="6"/>
              <c:layout>
                <c:manualLayout>
                  <c:x val="6.6496730577414124E-3"/>
                  <c:y val="6.8376068376068393E-3"/>
                </c:manualLayout>
              </c:layout>
              <c:showVal val="1"/>
            </c:dLbl>
            <c:showVal val="1"/>
          </c:dLbls>
          <c:cat>
            <c:strRef>
              <c:f>'2018'!$A$3:$A$9</c:f>
              <c:strCache>
                <c:ptCount val="7"/>
                <c:pt idx="0">
                  <c:v>Services and Other Branches</c:v>
                </c:pt>
                <c:pt idx="1">
                  <c:v>Wholesale and Retail Trade</c:v>
                </c:pt>
                <c:pt idx="2">
                  <c:v>Industry</c:v>
                </c:pt>
                <c:pt idx="3">
                  <c:v>Construction</c:v>
                </c:pt>
                <c:pt idx="4">
                  <c:v>Transportation and Storage</c:v>
                </c:pt>
                <c:pt idx="5">
                  <c:v>Agriculture</c:v>
                </c:pt>
                <c:pt idx="6">
                  <c:v>Information and Communications</c:v>
                </c:pt>
              </c:strCache>
            </c:strRef>
          </c:cat>
          <c:val>
            <c:numRef>
              <c:f>'2018'!$B$3:$B$9</c:f>
              <c:numCache>
                <c:formatCode>0.0</c:formatCode>
                <c:ptCount val="7"/>
                <c:pt idx="0">
                  <c:v>57</c:v>
                </c:pt>
                <c:pt idx="1">
                  <c:v>19.3</c:v>
                </c:pt>
                <c:pt idx="2">
                  <c:v>6</c:v>
                </c:pt>
                <c:pt idx="3">
                  <c:v>3.5</c:v>
                </c:pt>
                <c:pt idx="4">
                  <c:v>7.4</c:v>
                </c:pt>
                <c:pt idx="5">
                  <c:v>5.7</c:v>
                </c:pt>
                <c:pt idx="6">
                  <c:v>1.1000000000000001</c:v>
                </c:pt>
              </c:numCache>
            </c:numRef>
          </c:val>
        </c:ser>
        <c:ser>
          <c:idx val="1"/>
          <c:order val="1"/>
          <c:tx>
            <c:strRef>
              <c:f>'2018'!$C$2</c:f>
              <c:strCache>
                <c:ptCount val="1"/>
                <c:pt idx="0">
                  <c:v>West Bank</c:v>
                </c:pt>
              </c:strCache>
            </c:strRef>
          </c:tx>
          <c:spPr>
            <a:solidFill>
              <a:srgbClr val="C00000"/>
            </a:solidFill>
            <a:ln>
              <a:prstDash val="sysDot"/>
            </a:ln>
          </c:spPr>
          <c:dLbls>
            <c:dLbl>
              <c:idx val="0"/>
              <c:layout>
                <c:manualLayout>
                  <c:x val="4.4343979342663124E-3"/>
                  <c:y val="-8.6103621301357926E-3"/>
                </c:manualLayout>
              </c:layout>
              <c:showVal val="1"/>
            </c:dLbl>
            <c:dLbl>
              <c:idx val="1"/>
              <c:layout>
                <c:manualLayout>
                  <c:x val="4.4384104904269034E-3"/>
                  <c:y val="-5.1279113363213846E-3"/>
                </c:manualLayout>
              </c:layout>
              <c:showVal val="1"/>
            </c:dLbl>
            <c:dLbl>
              <c:idx val="4"/>
              <c:layout>
                <c:manualLayout>
                  <c:x val="1.1085296999811759E-2"/>
                  <c:y val="-8.6103621301357926E-3"/>
                </c:manualLayout>
              </c:layout>
              <c:showVal val="1"/>
            </c:dLbl>
            <c:dLbl>
              <c:idx val="5"/>
              <c:layout>
                <c:manualLayout>
                  <c:x val="1.1085296999811759E-2"/>
                  <c:y val="-7.3750802560328494E-3"/>
                </c:manualLayout>
              </c:layout>
              <c:showVal val="1"/>
            </c:dLbl>
            <c:dLbl>
              <c:idx val="6"/>
              <c:layout>
                <c:manualLayout>
                  <c:x val="8.8681964305510046E-3"/>
                  <c:y val="0"/>
                </c:manualLayout>
              </c:layout>
              <c:showVal val="1"/>
            </c:dLbl>
            <c:showVal val="1"/>
          </c:dLbls>
          <c:cat>
            <c:strRef>
              <c:f>'2018'!$A$3:$A$9</c:f>
              <c:strCache>
                <c:ptCount val="7"/>
                <c:pt idx="0">
                  <c:v>Services and Other Branches</c:v>
                </c:pt>
                <c:pt idx="1">
                  <c:v>Wholesale and Retail Trade</c:v>
                </c:pt>
                <c:pt idx="2">
                  <c:v>Industry</c:v>
                </c:pt>
                <c:pt idx="3">
                  <c:v>Construction</c:v>
                </c:pt>
                <c:pt idx="4">
                  <c:v>Transportation and Storage</c:v>
                </c:pt>
                <c:pt idx="5">
                  <c:v>Agriculture</c:v>
                </c:pt>
                <c:pt idx="6">
                  <c:v>Information and Communications</c:v>
                </c:pt>
              </c:strCache>
            </c:strRef>
          </c:cat>
          <c:val>
            <c:numRef>
              <c:f>'2018'!$C$3:$C$9</c:f>
              <c:numCache>
                <c:formatCode>0.0</c:formatCode>
                <c:ptCount val="7"/>
                <c:pt idx="0">
                  <c:v>36.6</c:v>
                </c:pt>
                <c:pt idx="1">
                  <c:v>21.1</c:v>
                </c:pt>
                <c:pt idx="2">
                  <c:v>16.100000000000001</c:v>
                </c:pt>
                <c:pt idx="3">
                  <c:v>13.7</c:v>
                </c:pt>
                <c:pt idx="4">
                  <c:v>4.5</c:v>
                </c:pt>
                <c:pt idx="5">
                  <c:v>6.7</c:v>
                </c:pt>
                <c:pt idx="6">
                  <c:v>1.3</c:v>
                </c:pt>
              </c:numCache>
            </c:numRef>
          </c:val>
        </c:ser>
        <c:axId val="141243520"/>
        <c:axId val="141245440"/>
      </c:barChart>
      <c:catAx>
        <c:axId val="141243520"/>
        <c:scaling>
          <c:orientation val="minMax"/>
        </c:scaling>
        <c:axPos val="l"/>
        <c:title>
          <c:tx>
            <c:rich>
              <a:bodyPr/>
              <a:lstStyle/>
              <a:p>
                <a:pPr>
                  <a:defRPr/>
                </a:pPr>
                <a:r>
                  <a:rPr lang="en-GB"/>
                  <a:t>Economic activity</a:t>
                </a:r>
                <a:endParaRPr lang="ar-SA"/>
              </a:p>
            </c:rich>
          </c:tx>
          <c:layout>
            <c:manualLayout>
              <c:xMode val="edge"/>
              <c:yMode val="edge"/>
              <c:x val="9.8949229484405991E-3"/>
              <c:y val="0.3332411426410985"/>
            </c:manualLayout>
          </c:layout>
        </c:title>
        <c:numFmt formatCode="General" sourceLinked="1"/>
        <c:tickLblPos val="nextTo"/>
        <c:txPr>
          <a:bodyPr rot="0" vert="horz"/>
          <a:lstStyle/>
          <a:p>
            <a:pPr>
              <a:defRPr/>
            </a:pPr>
            <a:endParaRPr lang="en-US"/>
          </a:p>
        </c:txPr>
        <c:crossAx val="141245440"/>
        <c:crosses val="autoZero"/>
        <c:auto val="1"/>
        <c:lblAlgn val="ctr"/>
        <c:lblOffset val="100"/>
        <c:tickLblSkip val="1"/>
        <c:tickMarkSkip val="1"/>
      </c:catAx>
      <c:valAx>
        <c:axId val="141245440"/>
        <c:scaling>
          <c:orientation val="minMax"/>
          <c:max val="60"/>
          <c:min val="0"/>
        </c:scaling>
        <c:axPos val="b"/>
        <c:title>
          <c:tx>
            <c:rich>
              <a:bodyPr/>
              <a:lstStyle/>
              <a:p>
                <a:pPr>
                  <a:defRPr/>
                </a:pPr>
                <a:r>
                  <a:rPr lang="en-GB"/>
                  <a:t>Percentage (%)</a:t>
                </a:r>
                <a:endParaRPr lang="ar-SA"/>
              </a:p>
            </c:rich>
          </c:tx>
          <c:layout>
            <c:manualLayout>
              <c:xMode val="edge"/>
              <c:yMode val="edge"/>
              <c:x val="0.48243119731012191"/>
              <c:y val="0.89467154180398611"/>
            </c:manualLayout>
          </c:layout>
        </c:title>
        <c:numFmt formatCode="#,##0" sourceLinked="0"/>
        <c:tickLblPos val="nextTo"/>
        <c:txPr>
          <a:bodyPr rot="0" vert="horz"/>
          <a:lstStyle/>
          <a:p>
            <a:pPr>
              <a:defRPr/>
            </a:pPr>
            <a:endParaRPr lang="en-US"/>
          </a:p>
        </c:txPr>
        <c:crossAx val="141243520"/>
        <c:crosses val="autoZero"/>
        <c:crossBetween val="between"/>
        <c:majorUnit val="10"/>
        <c:minorUnit val="1"/>
      </c:valAx>
      <c:spPr>
        <a:noFill/>
        <a:ln w="25400">
          <a:noFill/>
        </a:ln>
      </c:spPr>
    </c:plotArea>
    <c:legend>
      <c:legendPos val="b"/>
      <c:layout>
        <c:manualLayout>
          <c:xMode val="edge"/>
          <c:yMode val="edge"/>
          <c:x val="0.68289031032403824"/>
          <c:y val="4.9747535016156523E-2"/>
          <c:w val="0.27694596747943867"/>
          <c:h val="8.6156451502441667E-2"/>
        </c:manualLayout>
      </c:layout>
      <c:spPr>
        <a:ln>
          <a:solidFill>
            <a:schemeClr val="tx1"/>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317466037756987"/>
          <c:y val="8.276861692736838E-2"/>
          <c:w val="0.80447807837249963"/>
          <c:h val="0.70607889342301189"/>
        </c:manualLayout>
      </c:layout>
      <c:lineChart>
        <c:grouping val="standard"/>
        <c:ser>
          <c:idx val="0"/>
          <c:order val="0"/>
          <c:tx>
            <c:strRef>
              <c:f>'2018'!$B$4</c:f>
              <c:strCache>
                <c:ptCount val="1"/>
                <c:pt idx="0">
                  <c:v>Real Wages</c:v>
                </c:pt>
              </c:strCache>
            </c:strRef>
          </c:tx>
          <c:spPr>
            <a:ln w="25400"/>
          </c:spPr>
          <c:marker>
            <c:symbol val="square"/>
            <c:size val="7"/>
            <c:spPr>
              <a:ln w="12700"/>
            </c:spPr>
          </c:marker>
          <c:dLbls>
            <c:dLbl>
              <c:idx val="0"/>
              <c:layout>
                <c:manualLayout>
                  <c:x val="-6.317734369200631E-2"/>
                  <c:y val="-6.3260340632603412E-2"/>
                </c:manualLayout>
              </c:layout>
              <c:showVal val="1"/>
            </c:dLbl>
            <c:dLbl>
              <c:idx val="8"/>
              <c:showVal val="1"/>
            </c:dLbl>
            <c:dLbl>
              <c:idx val="9"/>
              <c:layout>
                <c:manualLayout>
                  <c:x val="-3.2797638570027612E-2"/>
                  <c:y val="5.1273955939118862E-2"/>
                </c:manualLayout>
              </c:layout>
              <c:showVal val="1"/>
            </c:dLbl>
            <c:delete val="1"/>
          </c:dLbls>
          <c:cat>
            <c:numRef>
              <c:f>'2018'!$A$6:$A$14</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'2018'!$B$6:$B$14</c:f>
              <c:numCache>
                <c:formatCode>0.0</c:formatCode>
                <c:ptCount val="9"/>
                <c:pt idx="0">
                  <c:v>84</c:v>
                </c:pt>
                <c:pt idx="1">
                  <c:v>85.5</c:v>
                </c:pt>
                <c:pt idx="2">
                  <c:v>89.4</c:v>
                </c:pt>
                <c:pt idx="3" formatCode="General">
                  <c:v>95.6</c:v>
                </c:pt>
                <c:pt idx="4" formatCode="General">
                  <c:v>99.7</c:v>
                </c:pt>
                <c:pt idx="5" formatCode="General">
                  <c:v>102.1</c:v>
                </c:pt>
                <c:pt idx="6" formatCode="General">
                  <c:v>107.2</c:v>
                </c:pt>
                <c:pt idx="7" formatCode="General">
                  <c:v>111.4</c:v>
                </c:pt>
                <c:pt idx="8" formatCode="General">
                  <c:v>118.8</c:v>
                </c:pt>
              </c:numCache>
            </c:numRef>
          </c:val>
        </c:ser>
        <c:ser>
          <c:idx val="1"/>
          <c:order val="1"/>
          <c:tx>
            <c:strRef>
              <c:f>'2018'!$C$4</c:f>
              <c:strCache>
                <c:ptCount val="1"/>
                <c:pt idx="0">
                  <c:v>Nominal Wages</c:v>
                </c:pt>
              </c:strCache>
            </c:strRef>
          </c:tx>
          <c:spPr>
            <a:ln w="25400"/>
          </c:spPr>
          <c:marker>
            <c:symbol val="triangle"/>
            <c:size val="7"/>
            <c:spPr>
              <a:ln w="12700"/>
            </c:spPr>
          </c:marker>
          <c:dLbls>
            <c:dLbl>
              <c:idx val="8"/>
              <c:showVal val="1"/>
            </c:dLbl>
            <c:dLbl>
              <c:idx val="9"/>
              <c:layout>
                <c:manualLayout>
                  <c:x val="-3.4984147808026292E-2"/>
                  <c:y val="6.6656142720853656E-2"/>
                </c:manualLayout>
              </c:layout>
              <c:showVal val="1"/>
            </c:dLbl>
            <c:delete val="1"/>
          </c:dLbls>
          <c:cat>
            <c:numRef>
              <c:f>'2018'!$A$6:$A$14</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'2018'!$C$6:$C$14</c:f>
              <c:numCache>
                <c:formatCode>0.0</c:formatCode>
                <c:ptCount val="9"/>
                <c:pt idx="0">
                  <c:v>84</c:v>
                </c:pt>
                <c:pt idx="1">
                  <c:v>83.106531881803988</c:v>
                </c:pt>
                <c:pt idx="2">
                  <c:v>84.547002080574998</c:v>
                </c:pt>
                <c:pt idx="3">
                  <c:v>88.880624767571604</c:v>
                </c:pt>
                <c:pt idx="4">
                  <c:v>91.116797660391157</c:v>
                </c:pt>
                <c:pt idx="5">
                  <c:v>91.990269393639096</c:v>
                </c:pt>
                <c:pt idx="6">
                  <c:v>96.794582392776519</c:v>
                </c:pt>
                <c:pt idx="7">
                  <c:v>100.37844656694818</c:v>
                </c:pt>
                <c:pt idx="8">
                  <c:v>107.3</c:v>
                </c:pt>
              </c:numCache>
            </c:numRef>
          </c:val>
        </c:ser>
        <c:marker val="1"/>
        <c:axId val="139182848"/>
        <c:axId val="139184384"/>
      </c:lineChart>
      <c:catAx>
        <c:axId val="139182848"/>
        <c:scaling>
          <c:orientation val="minMax"/>
        </c:scaling>
        <c:axPos val="b"/>
        <c:title>
          <c:tx>
            <c:rich>
              <a:bodyPr/>
              <a:lstStyle/>
              <a:p>
                <a:pPr>
                  <a:defRPr/>
                </a:pPr>
                <a:r>
                  <a:rPr lang="en-US"/>
                  <a:t>Year</a:t>
                </a:r>
                <a:endParaRPr lang="ar-SA"/>
              </a:p>
            </c:rich>
          </c:tx>
          <c:layout>
            <c:manualLayout>
              <c:xMode val="edge"/>
              <c:yMode val="edge"/>
              <c:x val="0.46961071691746353"/>
              <c:y val="0.90699267854676069"/>
            </c:manualLayout>
          </c:layout>
        </c:title>
        <c:numFmt formatCode="General" sourceLinked="1"/>
        <c:tickLblPos val="nextTo"/>
        <c:txPr>
          <a:bodyPr rot="0" vert="horz"/>
          <a:lstStyle/>
          <a:p>
            <a:pPr>
              <a:defRPr/>
            </a:pPr>
            <a:endParaRPr lang="en-US"/>
          </a:p>
        </c:txPr>
        <c:crossAx val="139184384"/>
        <c:crosses val="autoZero"/>
        <c:auto val="1"/>
        <c:lblAlgn val="ctr"/>
        <c:lblOffset val="100"/>
        <c:tickLblSkip val="1"/>
        <c:tickMarkSkip val="1"/>
      </c:catAx>
      <c:valAx>
        <c:axId val="139184384"/>
        <c:scaling>
          <c:orientation val="minMax"/>
          <c:max val="120"/>
          <c:min val="60"/>
        </c:scaling>
        <c:axPos val="l"/>
        <c:title>
          <c:tx>
            <c:rich>
              <a:bodyPr/>
              <a:lstStyle/>
              <a:p>
                <a:pPr>
                  <a:defRPr/>
                </a:pPr>
                <a:r>
                  <a:rPr lang="en-US" sz="900" b="1" i="0" u="none" strike="noStrike" baseline="0"/>
                  <a:t>Israeli Shekel (NIS)</a:t>
                </a:r>
                <a:endParaRPr lang="ar-SA"/>
              </a:p>
            </c:rich>
          </c:tx>
          <c:layout>
            <c:manualLayout>
              <c:xMode val="edge"/>
              <c:yMode val="edge"/>
              <c:x val="3.1112709239173031E-2"/>
              <c:y val="0.20338390586230257"/>
            </c:manualLayout>
          </c:layout>
        </c:title>
        <c:numFmt formatCode="0" sourceLinked="0"/>
        <c:tickLblPos val="nextTo"/>
        <c:txPr>
          <a:bodyPr rot="0" vert="horz"/>
          <a:lstStyle/>
          <a:p>
            <a:pPr>
              <a:defRPr/>
            </a:pPr>
            <a:endParaRPr lang="en-US"/>
          </a:p>
        </c:txPr>
        <c:crossAx val="139182848"/>
        <c:crosses val="autoZero"/>
        <c:crossBetween val="between"/>
        <c:majorUnit val="10"/>
      </c:valAx>
    </c:plotArea>
    <c:legend>
      <c:legendPos val="b"/>
      <c:layout>
        <c:manualLayout>
          <c:xMode val="edge"/>
          <c:yMode val="edge"/>
          <c:x val="0.26999778427456289"/>
          <c:y val="3.5770982663041601E-2"/>
          <c:w val="0.38542604434383188"/>
          <c:h val="9.0635923872744745E-2"/>
        </c:manualLayout>
      </c:layout>
      <c:spPr>
        <a:ln>
          <a:solidFill>
            <a:schemeClr val="tx1"/>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lineChart>
        <c:grouping val="standard"/>
        <c:ser>
          <c:idx val="0"/>
          <c:order val="0"/>
          <c:tx>
            <c:strRef>
              <c:f>Sheet3!$B$1</c:f>
              <c:strCache>
                <c:ptCount val="1"/>
                <c:pt idx="0">
                  <c:v>Palestine</c:v>
                </c:pt>
              </c:strCache>
            </c:strRef>
          </c:tx>
          <c:spPr>
            <a:ln w="25400"/>
          </c:spPr>
          <c:marker>
            <c:symbol val="diamond"/>
            <c:size val="7"/>
            <c:spPr>
              <a:ln w="12700"/>
            </c:spPr>
          </c:marker>
          <c:dLbls>
            <c:dLbl>
              <c:idx val="0"/>
              <c:layout>
                <c:manualLayout>
                  <c:x val="-7.5425937884014013E-2"/>
                  <c:y val="5.5555555555555455E-2"/>
                </c:manualLayout>
              </c:layout>
              <c:showVal val="1"/>
            </c:dLbl>
            <c:dLbl>
              <c:idx val="5"/>
              <c:layout>
                <c:manualLayout>
                  <c:x val="0"/>
                  <c:y val="6.9444444444444503E-2"/>
                </c:manualLayout>
              </c:layout>
              <c:showVal val="1"/>
            </c:dLbl>
            <c:delete val="1"/>
            <c:txPr>
              <a:bodyPr/>
              <a:lstStyle/>
              <a:p>
                <a:pPr>
                  <a:defRPr sz="900">
                    <a:latin typeface="Arial" pitchFamily="34" charset="0"/>
                    <a:cs typeface="Arial" pitchFamily="34" charset="0"/>
                  </a:defRPr>
                </a:pPr>
                <a:endParaRPr lang="en-US"/>
              </a:p>
            </c:txPr>
          </c:dLbls>
          <c:cat>
            <c:numRef>
              <c:f>Sheet3!$A$7:$A$12</c:f>
              <c:numCache>
                <c:formatCode>General</c:formatCode>
                <c:ptCount val="6"/>
                <c:pt idx="0">
                  <c:v>2013</c:v>
                </c:pt>
                <c:pt idx="1">
                  <c:v>2014</c:v>
                </c:pt>
                <c:pt idx="2">
                  <c:v>2015</c:v>
                </c:pt>
                <c:pt idx="3">
                  <c:v>2016</c:v>
                </c:pt>
                <c:pt idx="4">
                  <c:v>2017</c:v>
                </c:pt>
                <c:pt idx="5">
                  <c:v>2018</c:v>
                </c:pt>
              </c:numCache>
            </c:numRef>
          </c:cat>
          <c:val>
            <c:numRef>
              <c:f>Sheet3!$B$7:$B$12</c:f>
              <c:numCache>
                <c:formatCode>#,##0.0</c:formatCode>
                <c:ptCount val="6"/>
                <c:pt idx="0">
                  <c:v>14291</c:v>
                </c:pt>
                <c:pt idx="1">
                  <c:v>13757.2</c:v>
                </c:pt>
                <c:pt idx="2">
                  <c:v>13422.7</c:v>
                </c:pt>
                <c:pt idx="3">
                  <c:v>13855.3</c:v>
                </c:pt>
                <c:pt idx="4">
                  <c:v>14303.2</c:v>
                </c:pt>
                <c:pt idx="5">
                  <c:v>14858.9</c:v>
                </c:pt>
              </c:numCache>
            </c:numRef>
          </c:val>
        </c:ser>
        <c:ser>
          <c:idx val="1"/>
          <c:order val="1"/>
          <c:tx>
            <c:strRef>
              <c:f>Sheet3!$C$1</c:f>
              <c:strCache>
                <c:ptCount val="1"/>
                <c:pt idx="0">
                  <c:v>West Bank</c:v>
                </c:pt>
              </c:strCache>
            </c:strRef>
          </c:tx>
          <c:spPr>
            <a:ln w="25400"/>
          </c:spPr>
          <c:marker>
            <c:symbol val="square"/>
            <c:size val="7"/>
            <c:spPr>
              <a:ln w="12700"/>
            </c:spPr>
          </c:marker>
          <c:dLbls>
            <c:dLbl>
              <c:idx val="0"/>
              <c:layout>
                <c:manualLayout>
                  <c:x val="-7.0854668921347133E-2"/>
                  <c:y val="-8.3333333333333343E-2"/>
                </c:manualLayout>
              </c:layout>
              <c:showVal val="1"/>
            </c:dLbl>
            <c:dLbl>
              <c:idx val="5"/>
              <c:layout>
                <c:manualLayout>
                  <c:x val="-9.1425379253350248E-3"/>
                  <c:y val="-5.5555555555555455E-2"/>
                </c:manualLayout>
              </c:layout>
              <c:showVal val="1"/>
            </c:dLbl>
            <c:delete val="1"/>
            <c:txPr>
              <a:bodyPr/>
              <a:lstStyle/>
              <a:p>
                <a:pPr>
                  <a:defRPr sz="900">
                    <a:latin typeface="Arial" pitchFamily="34" charset="0"/>
                    <a:cs typeface="Arial" pitchFamily="34" charset="0"/>
                  </a:defRPr>
                </a:pPr>
                <a:endParaRPr lang="en-US"/>
              </a:p>
            </c:txPr>
          </c:dLbls>
          <c:cat>
            <c:numRef>
              <c:f>Sheet3!$A$7:$A$12</c:f>
              <c:numCache>
                <c:formatCode>General</c:formatCode>
                <c:ptCount val="6"/>
                <c:pt idx="0">
                  <c:v>2013</c:v>
                </c:pt>
                <c:pt idx="1">
                  <c:v>2014</c:v>
                </c:pt>
                <c:pt idx="2">
                  <c:v>2015</c:v>
                </c:pt>
                <c:pt idx="3">
                  <c:v>2016</c:v>
                </c:pt>
                <c:pt idx="4">
                  <c:v>2017</c:v>
                </c:pt>
                <c:pt idx="5">
                  <c:v>2018</c:v>
                </c:pt>
              </c:numCache>
            </c:numRef>
          </c:cat>
          <c:val>
            <c:numRef>
              <c:f>Sheet3!$C$7:$C$12</c:f>
              <c:numCache>
                <c:formatCode>#,##0.0</c:formatCode>
                <c:ptCount val="6"/>
                <c:pt idx="0">
                  <c:v>15363.2</c:v>
                </c:pt>
                <c:pt idx="1">
                  <c:v>14819.9</c:v>
                </c:pt>
                <c:pt idx="2">
                  <c:v>14675.7</c:v>
                </c:pt>
                <c:pt idx="3">
                  <c:v>15147.4</c:v>
                </c:pt>
                <c:pt idx="4">
                  <c:v>16420.8</c:v>
                </c:pt>
                <c:pt idx="5">
                  <c:v>16930.3</c:v>
                </c:pt>
              </c:numCache>
            </c:numRef>
          </c:val>
        </c:ser>
        <c:ser>
          <c:idx val="2"/>
          <c:order val="2"/>
          <c:tx>
            <c:strRef>
              <c:f>Sheet3!$D$1</c:f>
              <c:strCache>
                <c:ptCount val="1"/>
                <c:pt idx="0">
                  <c:v>Gaza Strip </c:v>
                </c:pt>
              </c:strCache>
            </c:strRef>
          </c:tx>
          <c:spPr>
            <a:ln w="25400"/>
          </c:spPr>
          <c:marker>
            <c:symbol val="triangle"/>
            <c:size val="7"/>
            <c:spPr>
              <a:ln w="12700"/>
            </c:spPr>
          </c:marker>
          <c:dLbls>
            <c:dLbl>
              <c:idx val="0"/>
              <c:layout>
                <c:manualLayout>
                  <c:x val="-6.856903444001243E-2"/>
                  <c:y val="7.8703703703703803E-2"/>
                </c:manualLayout>
              </c:layout>
              <c:showVal val="1"/>
            </c:dLbl>
            <c:dLbl>
              <c:idx val="5"/>
              <c:layout>
                <c:manualLayout>
                  <c:x val="0"/>
                  <c:y val="4.1666666666666761E-2"/>
                </c:manualLayout>
              </c:layout>
              <c:showVal val="1"/>
            </c:dLbl>
            <c:delete val="1"/>
            <c:txPr>
              <a:bodyPr/>
              <a:lstStyle/>
              <a:p>
                <a:pPr>
                  <a:defRPr sz="900">
                    <a:latin typeface="Arial" pitchFamily="34" charset="0"/>
                    <a:cs typeface="Arial" pitchFamily="34" charset="0"/>
                  </a:defRPr>
                </a:pPr>
                <a:endParaRPr lang="en-US"/>
              </a:p>
            </c:txPr>
          </c:dLbls>
          <c:cat>
            <c:numRef>
              <c:f>Sheet3!$A$7:$A$12</c:f>
              <c:numCache>
                <c:formatCode>General</c:formatCode>
                <c:ptCount val="6"/>
                <c:pt idx="0">
                  <c:v>2013</c:v>
                </c:pt>
                <c:pt idx="1">
                  <c:v>2014</c:v>
                </c:pt>
                <c:pt idx="2">
                  <c:v>2015</c:v>
                </c:pt>
                <c:pt idx="3">
                  <c:v>2016</c:v>
                </c:pt>
                <c:pt idx="4">
                  <c:v>2017</c:v>
                </c:pt>
                <c:pt idx="5">
                  <c:v>2018</c:v>
                </c:pt>
              </c:numCache>
            </c:numRef>
          </c:cat>
          <c:val>
            <c:numRef>
              <c:f>Sheet3!$D$7:$D$12</c:f>
              <c:numCache>
                <c:formatCode>#,##0.0</c:formatCode>
                <c:ptCount val="6"/>
                <c:pt idx="0">
                  <c:v>12375.9</c:v>
                </c:pt>
                <c:pt idx="1">
                  <c:v>11483.1</c:v>
                </c:pt>
                <c:pt idx="2">
                  <c:v>10956.4</c:v>
                </c:pt>
                <c:pt idx="3">
                  <c:v>11423.6</c:v>
                </c:pt>
                <c:pt idx="4">
                  <c:v>10188</c:v>
                </c:pt>
                <c:pt idx="5">
                  <c:v>10384.6</c:v>
                </c:pt>
              </c:numCache>
            </c:numRef>
          </c:val>
        </c:ser>
        <c:marker val="1"/>
        <c:axId val="141349632"/>
        <c:axId val="141351552"/>
      </c:lineChart>
      <c:catAx>
        <c:axId val="14134963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endParaRPr lang="en-GB" sz="900">
                  <a:latin typeface="Arial" pitchFamily="34" charset="0"/>
                  <a:cs typeface="Arial" pitchFamily="34" charset="0"/>
                </a:endParaRPr>
              </a:p>
            </c:rich>
          </c:tx>
          <c:layout>
            <c:manualLayout>
              <c:xMode val="edge"/>
              <c:yMode val="edge"/>
              <c:x val="0.54896494952527197"/>
              <c:y val="0.89256926217556143"/>
            </c:manualLayout>
          </c:layout>
        </c:title>
        <c:numFmt formatCode="General" sourceLinked="1"/>
        <c:majorTickMark val="none"/>
        <c:tickLblPos val="nextTo"/>
        <c:txPr>
          <a:bodyPr rot="0" vert="horz"/>
          <a:lstStyle/>
          <a:p>
            <a:pPr>
              <a:defRPr sz="900">
                <a:latin typeface="Arial" pitchFamily="34" charset="0"/>
                <a:cs typeface="Arial" pitchFamily="34" charset="0"/>
              </a:defRPr>
            </a:pPr>
            <a:endParaRPr lang="en-US"/>
          </a:p>
        </c:txPr>
        <c:crossAx val="141351552"/>
        <c:crosses val="autoZero"/>
        <c:auto val="1"/>
        <c:lblAlgn val="ctr"/>
        <c:lblOffset val="100"/>
        <c:tickLblSkip val="1"/>
        <c:tickMarkSkip val="1"/>
      </c:catAx>
      <c:valAx>
        <c:axId val="141351552"/>
        <c:scaling>
          <c:orientation val="minMax"/>
          <c:max val="18000"/>
          <c:min val="90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ar-SA" sz="900">
                    <a:latin typeface="Arial" pitchFamily="34" charset="0"/>
                    <a:cs typeface="Arial" pitchFamily="34" charset="0"/>
                  </a:rPr>
                  <a:t>
</a:t>
                </a:r>
              </a:p>
            </c:rich>
          </c:tx>
        </c:title>
        <c:numFmt formatCode="#,##0" sourceLinked="0"/>
        <c:tickLblPos val="nextTo"/>
        <c:txPr>
          <a:bodyPr rot="0" vert="horz"/>
          <a:lstStyle/>
          <a:p>
            <a:pPr>
              <a:defRPr sz="900">
                <a:latin typeface="Arial" pitchFamily="34" charset="0"/>
                <a:cs typeface="Arial" pitchFamily="34" charset="0"/>
              </a:defRPr>
            </a:pPr>
            <a:endParaRPr lang="en-US"/>
          </a:p>
        </c:txPr>
        <c:crossAx val="141349632"/>
        <c:crosses val="autoZero"/>
        <c:crossBetween val="between"/>
        <c:majorUnit val="1500"/>
      </c:valAx>
    </c:plotArea>
    <c:legend>
      <c:legendPos val="t"/>
      <c:spPr>
        <a:ln>
          <a:solidFill>
            <a:sysClr val="windowText" lastClr="000000">
              <a:tint val="75000"/>
              <a:shade val="95000"/>
              <a:satMod val="105000"/>
            </a:sysClr>
          </a:solidFill>
        </a:ln>
      </c:spPr>
      <c:txPr>
        <a:bodyPr/>
        <a:lstStyle/>
        <a:p>
          <a:pPr>
            <a:defRPr sz="900">
              <a:latin typeface="Arial" pitchFamily="34" charset="0"/>
              <a:cs typeface="Arial" pitchFamily="34" charset="0"/>
            </a:defRPr>
          </a:pPr>
          <a:endParaRPr lang="en-US"/>
        </a:p>
      </c:txPr>
    </c:legend>
    <c:plotVisOnly val="1"/>
    <c:dispBlanksAs val="gap"/>
  </c:chart>
  <c:spPr>
    <a:ln w="12700">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roundedCorners val="1"/>
  <c:chart>
    <c:title>
      <c:tx>
        <c:rich>
          <a:bodyPr/>
          <a:lstStyle/>
          <a:p>
            <a:pPr>
              <a:defRPr/>
            </a:pPr>
            <a:r>
              <a:rPr lang="ar-SA"/>
              <a:t> </a:t>
            </a:r>
          </a:p>
        </c:rich>
      </c:tx>
      <c:layout>
        <c:manualLayout>
          <c:xMode val="edge"/>
          <c:yMode val="edge"/>
          <c:x val="0.4953915494169786"/>
          <c:y val="1.9083927640363933E-2"/>
        </c:manualLayout>
      </c:layout>
      <c:spPr>
        <a:noFill/>
        <a:ln w="25399">
          <a:noFill/>
        </a:ln>
      </c:spPr>
    </c:title>
    <c:plotArea>
      <c:layout>
        <c:manualLayout>
          <c:layoutTarget val="inner"/>
          <c:xMode val="edge"/>
          <c:yMode val="edge"/>
          <c:x val="0.12980417357763871"/>
          <c:y val="6.3587048307136171E-2"/>
          <c:w val="0.81567109876298205"/>
          <c:h val="0.76461405355854917"/>
        </c:manualLayout>
      </c:layout>
      <c:areaChart>
        <c:grouping val="standard"/>
        <c:ser>
          <c:idx val="0"/>
          <c:order val="0"/>
          <c:tx>
            <c:strRef>
              <c:f>Sheet1!$D$1</c:f>
              <c:strCache>
                <c:ptCount val="1"/>
                <c:pt idx="0">
                  <c:v>Index</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4.6889529978388682E-2"/>
                  <c:y val="-0.39403975228583832"/>
                </c:manualLayout>
              </c:layout>
              <c:showVal val="1"/>
            </c:dLbl>
            <c:dLbl>
              <c:idx val="9"/>
              <c:layout>
                <c:manualLayout>
                  <c:x val="-3.4723267395630114E-2"/>
                  <c:y val="-0.32247345025933088"/>
                </c:manualLayout>
              </c:layout>
              <c:showVal val="1"/>
            </c:dLbl>
            <c:numFmt formatCode="#,##0.00" sourceLinked="0"/>
            <c:showVal val="1"/>
          </c:dLbls>
          <c:cat>
            <c:numRef>
              <c:f>Sheet1!$C$8:$C$16</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Sheet1!$D$8:$D$16</c:f>
              <c:numCache>
                <c:formatCode>General</c:formatCode>
                <c:ptCount val="9"/>
                <c:pt idx="0">
                  <c:v>100</c:v>
                </c:pt>
                <c:pt idx="1">
                  <c:v>102.88</c:v>
                </c:pt>
                <c:pt idx="2">
                  <c:v>105.74000000000002</c:v>
                </c:pt>
                <c:pt idx="3">
                  <c:v>107.56</c:v>
                </c:pt>
                <c:pt idx="4">
                  <c:v>109.42</c:v>
                </c:pt>
                <c:pt idx="5">
                  <c:v>110.99000000000002</c:v>
                </c:pt>
                <c:pt idx="6">
                  <c:v>110.75</c:v>
                </c:pt>
                <c:pt idx="7">
                  <c:v>110.98</c:v>
                </c:pt>
                <c:pt idx="8">
                  <c:v>110.77</c:v>
                </c:pt>
              </c:numCache>
            </c:numRef>
          </c:val>
        </c:ser>
        <c:axId val="139143808"/>
        <c:axId val="141017856"/>
      </c:areaChart>
      <c:catAx>
        <c:axId val="139143808"/>
        <c:scaling>
          <c:orientation val="minMax"/>
        </c:scaling>
        <c:axPos val="b"/>
        <c:title>
          <c:tx>
            <c:rich>
              <a:bodyPr/>
              <a:lstStyle/>
              <a:p>
                <a:pPr>
                  <a:defRPr b="1"/>
                </a:pPr>
                <a:r>
                  <a:rPr lang="en-US" b="1"/>
                  <a:t>Year</a:t>
                </a:r>
                <a:endParaRPr lang="ar-SA" b="1"/>
              </a:p>
            </c:rich>
          </c:tx>
          <c:layout>
            <c:manualLayout>
              <c:xMode val="edge"/>
              <c:yMode val="edge"/>
              <c:x val="0.45998676170473296"/>
              <c:y val="0.91518883081841262"/>
            </c:manualLayout>
          </c:layout>
          <c:spPr>
            <a:noFill/>
            <a:ln w="25399">
              <a:noFill/>
            </a:ln>
          </c:spPr>
        </c:title>
        <c:numFmt formatCode="General" sourceLinked="1"/>
        <c:tickLblPos val="nextTo"/>
        <c:txPr>
          <a:bodyPr rot="0" vert="horz"/>
          <a:lstStyle/>
          <a:p>
            <a:pPr>
              <a:defRPr/>
            </a:pPr>
            <a:endParaRPr lang="en-US"/>
          </a:p>
        </c:txPr>
        <c:crossAx val="141017856"/>
        <c:crosses val="autoZero"/>
        <c:auto val="1"/>
        <c:lblAlgn val="ctr"/>
        <c:lblOffset val="100"/>
        <c:tickLblSkip val="1"/>
        <c:tickMarkSkip val="1"/>
      </c:catAx>
      <c:valAx>
        <c:axId val="141017856"/>
        <c:scaling>
          <c:orientation val="minMax"/>
          <c:min val="100"/>
        </c:scaling>
        <c:axPos val="l"/>
        <c:title>
          <c:tx>
            <c:rich>
              <a:bodyPr/>
              <a:lstStyle/>
              <a:p>
                <a:pPr>
                  <a:defRPr b="1"/>
                </a:pPr>
                <a:r>
                  <a:rPr lang="en-US" b="1"/>
                  <a:t>Index Number</a:t>
                </a:r>
                <a:endParaRPr lang="ar-SA" b="1"/>
              </a:p>
            </c:rich>
          </c:tx>
          <c:layout>
            <c:manualLayout>
              <c:xMode val="edge"/>
              <c:yMode val="edge"/>
              <c:x val="1.4918169218221623E-2"/>
              <c:y val="0.21866751628264264"/>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en-US"/>
          </a:p>
        </c:txPr>
        <c:crossAx val="139143808"/>
        <c:crosses val="autoZero"/>
        <c:crossBetween val="midCat"/>
      </c:valAx>
      <c:spPr>
        <a:solidFill>
          <a:srgbClr val="FFFFFF"/>
        </a:solidFill>
        <a:ln w="12700">
          <a:noFill/>
          <a:prstDash val="solid"/>
        </a:ln>
      </c:spPr>
    </c:plotArea>
    <c:plotVisOnly val="1"/>
    <c:dispBlanksAs val="zero"/>
  </c:chart>
  <c:spPr>
    <a:solidFill>
      <a:srgbClr val="FFFFFF"/>
    </a:solidFill>
    <a:ln w="12700">
      <a:noFill/>
      <a:prstDash val="solid"/>
    </a:ln>
  </c:spPr>
  <c:txPr>
    <a:bodyPr/>
    <a:lstStyle/>
    <a:p>
      <a:pPr algn="just">
        <a:defRPr sz="900" b="0" i="0" u="none" strike="noStrike" baseline="0">
          <a:solidFill>
            <a:srgbClr val="000000"/>
          </a:solidFill>
          <a:latin typeface="Arial" pitchFamily="34" charset="0"/>
          <a:ea typeface="Simplified Arabic"/>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038777593238477"/>
          <c:y val="0.14927408695280447"/>
          <c:w val="0.83258931621320065"/>
          <c:h val="0.76610169491525471"/>
        </c:manualLayout>
      </c:layout>
      <c:lineChart>
        <c:grouping val="standard"/>
        <c:ser>
          <c:idx val="0"/>
          <c:order val="0"/>
          <c:tx>
            <c:strRef>
              <c:f>Sheet3!$B$1</c:f>
              <c:strCache>
                <c:ptCount val="1"/>
                <c:pt idx="0">
                  <c:v>Total net public revenues</c:v>
                </c:pt>
              </c:strCache>
            </c:strRef>
          </c:tx>
          <c:marker>
            <c:symbol val="square"/>
            <c:size val="5"/>
          </c:marker>
          <c:dLbls>
            <c:dLbl>
              <c:idx val="0"/>
              <c:layout>
                <c:manualLayout>
                  <c:x val="-6.0066740823145587E-2"/>
                  <c:y val="-3.367003367003369E-2"/>
                </c:manualLayout>
              </c:layout>
              <c:showVal val="1"/>
            </c:dLbl>
            <c:dLbl>
              <c:idx val="1"/>
              <c:delete val="1"/>
            </c:dLbl>
            <c:dLbl>
              <c:idx val="2"/>
              <c:delete val="1"/>
            </c:dLbl>
            <c:dLbl>
              <c:idx val="3"/>
              <c:delete val="1"/>
            </c:dLbl>
            <c:dLbl>
              <c:idx val="4"/>
              <c:delete val="1"/>
            </c:dLbl>
            <c:dLbl>
              <c:idx val="5"/>
              <c:layout>
                <c:manualLayout>
                  <c:x val="-1.3351083183248699E-2"/>
                  <c:y val="5.6038914645328924E-2"/>
                </c:manualLayout>
              </c:layout>
              <c:showVal val="1"/>
            </c:dLbl>
            <c:showVal val="1"/>
          </c:dLbls>
          <c:cat>
            <c:numRef>
              <c:f>Sheet3!$A$6:$A$11</c:f>
              <c:numCache>
                <c:formatCode>General</c:formatCode>
                <c:ptCount val="6"/>
                <c:pt idx="0">
                  <c:v>2013</c:v>
                </c:pt>
                <c:pt idx="1">
                  <c:v>2014</c:v>
                </c:pt>
                <c:pt idx="2">
                  <c:v>2015</c:v>
                </c:pt>
                <c:pt idx="3">
                  <c:v>2016</c:v>
                </c:pt>
                <c:pt idx="4">
                  <c:v>2017</c:v>
                </c:pt>
                <c:pt idx="5">
                  <c:v>2018</c:v>
                </c:pt>
              </c:numCache>
            </c:numRef>
          </c:cat>
          <c:val>
            <c:numRef>
              <c:f>Sheet3!$B$6:$B$11</c:f>
              <c:numCache>
                <c:formatCode>#,##0.0</c:formatCode>
                <c:ptCount val="6"/>
                <c:pt idx="0">
                  <c:v>2312.4</c:v>
                </c:pt>
                <c:pt idx="1">
                  <c:v>2810.2</c:v>
                </c:pt>
                <c:pt idx="2">
                  <c:v>2810.1</c:v>
                </c:pt>
                <c:pt idx="3">
                  <c:v>3559.7</c:v>
                </c:pt>
                <c:pt idx="4">
                  <c:v>3567.8</c:v>
                </c:pt>
                <c:pt idx="5">
                  <c:v>3433.2</c:v>
                </c:pt>
              </c:numCache>
            </c:numRef>
          </c:val>
        </c:ser>
        <c:ser>
          <c:idx val="1"/>
          <c:order val="1"/>
          <c:tx>
            <c:strRef>
              <c:f>Sheet3!$C$1</c:f>
              <c:strCache>
                <c:ptCount val="1"/>
                <c:pt idx="0">
                  <c:v>Total current expenditures and net lending</c:v>
                </c:pt>
              </c:strCache>
            </c:strRef>
          </c:tx>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Sheet3!$A$6:$A$11</c:f>
              <c:numCache>
                <c:formatCode>General</c:formatCode>
                <c:ptCount val="6"/>
                <c:pt idx="0">
                  <c:v>2013</c:v>
                </c:pt>
                <c:pt idx="1">
                  <c:v>2014</c:v>
                </c:pt>
                <c:pt idx="2">
                  <c:v>2015</c:v>
                </c:pt>
                <c:pt idx="3">
                  <c:v>2016</c:v>
                </c:pt>
                <c:pt idx="4">
                  <c:v>2017</c:v>
                </c:pt>
                <c:pt idx="5">
                  <c:v>2018</c:v>
                </c:pt>
              </c:numCache>
            </c:numRef>
          </c:cat>
          <c:val>
            <c:numRef>
              <c:f>Sheet3!$C$6:$C$11</c:f>
              <c:numCache>
                <c:formatCode>#,##0.0</c:formatCode>
                <c:ptCount val="6"/>
                <c:pt idx="0">
                  <c:v>3694</c:v>
                </c:pt>
                <c:pt idx="1">
                  <c:v>4137.6000000000004</c:v>
                </c:pt>
                <c:pt idx="2">
                  <c:v>4029</c:v>
                </c:pt>
                <c:pt idx="3">
                  <c:v>4308.9000000000005</c:v>
                </c:pt>
                <c:pt idx="4">
                  <c:v>4430.6000000000004</c:v>
                </c:pt>
                <c:pt idx="5">
                  <c:v>4153.8</c:v>
                </c:pt>
              </c:numCache>
            </c:numRef>
          </c:val>
        </c:ser>
        <c:ser>
          <c:idx val="2"/>
          <c:order val="2"/>
          <c:tx>
            <c:strRef>
              <c:f>Sheet3!$D$1</c:f>
              <c:strCache>
                <c:ptCount val="1"/>
                <c:pt idx="0">
                  <c:v>Current deficit</c:v>
                </c:pt>
              </c:strCache>
            </c:strRef>
          </c:tx>
          <c:marker>
            <c:symbol val="circle"/>
            <c:size val="5"/>
          </c:marker>
          <c:dLbls>
            <c:dLbl>
              <c:idx val="0"/>
              <c:layout>
                <c:manualLayout>
                  <c:x val="-5.4956776120449934E-2"/>
                  <c:y val="4.8104971727018983E-2"/>
                </c:manualLayout>
              </c:layout>
              <c:showVal val="1"/>
            </c:dLbl>
            <c:dLbl>
              <c:idx val="5"/>
              <c:layout>
                <c:manualLayout>
                  <c:x val="-4.2261183333444224E-2"/>
                  <c:y val="8.5168925326608247E-2"/>
                </c:manualLayout>
              </c:layout>
              <c:showVal val="1"/>
            </c:dLbl>
            <c:dLbl>
              <c:idx val="8"/>
              <c:layout>
                <c:manualLayout>
                  <c:x val="-1.5341684686099481E-2"/>
                  <c:y val="3.3672074146740463E-2"/>
                </c:manualLayout>
              </c:layout>
              <c:tx>
                <c:rich>
                  <a:bodyPr/>
                  <a:lstStyle/>
                  <a:p>
                    <a:r>
                      <a:rPr lang="en-US" sz="900">
                        <a:latin typeface="Arial" pitchFamily="34" charset="0"/>
                        <a:cs typeface="Arial" pitchFamily="34" charset="0"/>
                      </a:rPr>
                      <a:t>-1,381.7</a:t>
                    </a:r>
                  </a:p>
                </c:rich>
              </c:tx>
              <c:showVal val="1"/>
            </c:dLbl>
            <c:delete val="1"/>
          </c:dLbls>
          <c:cat>
            <c:numRef>
              <c:f>Sheet3!$A$6:$A$11</c:f>
              <c:numCache>
                <c:formatCode>General</c:formatCode>
                <c:ptCount val="6"/>
                <c:pt idx="0">
                  <c:v>2013</c:v>
                </c:pt>
                <c:pt idx="1">
                  <c:v>2014</c:v>
                </c:pt>
                <c:pt idx="2">
                  <c:v>2015</c:v>
                </c:pt>
                <c:pt idx="3">
                  <c:v>2016</c:v>
                </c:pt>
                <c:pt idx="4">
                  <c:v>2017</c:v>
                </c:pt>
                <c:pt idx="5">
                  <c:v>2018</c:v>
                </c:pt>
              </c:numCache>
            </c:numRef>
          </c:cat>
          <c:val>
            <c:numRef>
              <c:f>Sheet3!$D$6:$D$11</c:f>
              <c:numCache>
                <c:formatCode>#,##0.0</c:formatCode>
                <c:ptCount val="6"/>
                <c:pt idx="0">
                  <c:v>-1381.6</c:v>
                </c:pt>
                <c:pt idx="1">
                  <c:v>-1327.4</c:v>
                </c:pt>
                <c:pt idx="2">
                  <c:v>-1218.9000000000001</c:v>
                </c:pt>
                <c:pt idx="3">
                  <c:v>-749.2</c:v>
                </c:pt>
                <c:pt idx="4">
                  <c:v>-862.8</c:v>
                </c:pt>
                <c:pt idx="5">
                  <c:v>-720.6</c:v>
                </c:pt>
              </c:numCache>
            </c:numRef>
          </c:val>
        </c:ser>
        <c:marker val="1"/>
        <c:axId val="143995648"/>
        <c:axId val="143997568"/>
      </c:lineChart>
      <c:catAx>
        <c:axId val="143995648"/>
        <c:scaling>
          <c:orientation val="minMax"/>
        </c:scaling>
        <c:axPos val="b"/>
        <c:title>
          <c:tx>
            <c:rich>
              <a:bodyPr/>
              <a:lstStyle/>
              <a:p>
                <a:pPr>
                  <a:defRPr/>
                </a:pPr>
                <a:r>
                  <a:rPr lang="en-US"/>
                  <a:t>Year</a:t>
                </a:r>
              </a:p>
            </c:rich>
          </c:tx>
          <c:layout>
            <c:manualLayout>
              <c:xMode val="edge"/>
              <c:yMode val="edge"/>
              <c:x val="0.50160316425330953"/>
              <c:y val="0.92257758808041856"/>
            </c:manualLayout>
          </c:layout>
        </c:title>
        <c:numFmt formatCode="General" sourceLinked="1"/>
        <c:tickLblPos val="nextTo"/>
        <c:txPr>
          <a:bodyPr rot="0" vert="horz"/>
          <a:lstStyle/>
          <a:p>
            <a:pPr>
              <a:defRPr/>
            </a:pPr>
            <a:endParaRPr lang="en-US"/>
          </a:p>
        </c:txPr>
        <c:crossAx val="143997568"/>
        <c:crosses val="autoZero"/>
        <c:auto val="1"/>
        <c:lblAlgn val="ctr"/>
        <c:lblOffset val="100"/>
        <c:tickLblSkip val="1"/>
        <c:tickMarkSkip val="1"/>
      </c:catAx>
      <c:valAx>
        <c:axId val="143997568"/>
        <c:scaling>
          <c:orientation val="minMax"/>
        </c:scaling>
        <c:axPos val="l"/>
        <c:title>
          <c:tx>
            <c:rich>
              <a:bodyPr/>
              <a:lstStyle/>
              <a:p>
                <a:pPr>
                  <a:defRPr/>
                </a:pPr>
                <a:r>
                  <a:rPr lang="en-US"/>
                  <a:t>USD Million</a:t>
                </a:r>
              </a:p>
            </c:rich>
          </c:tx>
          <c:layout>
            <c:manualLayout>
              <c:xMode val="edge"/>
              <c:yMode val="edge"/>
              <c:x val="1.0166459333187937E-2"/>
              <c:y val="0.35140853851881682"/>
            </c:manualLayout>
          </c:layout>
        </c:title>
        <c:numFmt formatCode="#,##0" sourceLinked="0"/>
        <c:tickLblPos val="nextTo"/>
        <c:txPr>
          <a:bodyPr rot="0" vert="horz"/>
          <a:lstStyle/>
          <a:p>
            <a:pPr>
              <a:defRPr/>
            </a:pPr>
            <a:endParaRPr lang="en-US"/>
          </a:p>
        </c:txPr>
        <c:crossAx val="143995648"/>
        <c:crosses val="autoZero"/>
        <c:crossBetween val="between"/>
      </c:valAx>
      <c:spPr>
        <a:noFill/>
        <a:ln w="25400">
          <a:noFill/>
        </a:ln>
      </c:spPr>
    </c:plotArea>
    <c:legend>
      <c:legendPos val="b"/>
      <c:layout>
        <c:manualLayout>
          <c:xMode val="edge"/>
          <c:yMode val="edge"/>
          <c:x val="3.2825742931180832E-2"/>
          <c:y val="2.3922174995813748E-2"/>
          <c:w val="0.95632580381083665"/>
          <c:h val="8.1265208546357007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BCBE8AB-8E03-4D75-AEAD-EC85E313DC57}" type="doc">
      <dgm:prSet loTypeId="urn:microsoft.com/office/officeart/2005/8/layout/balance1" loCatId="relationship" qsTypeId="urn:microsoft.com/office/officeart/2005/8/quickstyle/simple1" qsCatId="simple" csTypeId="urn:microsoft.com/office/officeart/2005/8/colors/accent1_2" csCatId="accent1" phldr="1"/>
      <dgm:spPr/>
      <dgm:t>
        <a:bodyPr/>
        <a:lstStyle/>
        <a:p>
          <a:pPr rtl="1"/>
          <a:endParaRPr lang="ar-SA"/>
        </a:p>
      </dgm:t>
    </dgm:pt>
    <dgm:pt modelId="{6AABF7D9-83CD-462D-817D-C44C7FBDF9CB}">
      <dgm:prSet phldrT="[Text]" custT="1"/>
      <dgm:spPr>
        <a:solidFill>
          <a:srgbClr val="BE4B48">
            <a:alpha val="90000"/>
          </a:srgbClr>
        </a:solidFill>
      </dgm:spPr>
      <dgm:t>
        <a:bodyPr/>
        <a:lstStyle/>
        <a:p>
          <a:pPr algn="ctr" rtl="0"/>
          <a:r>
            <a:rPr lang="en-GB" sz="900" b="1">
              <a:solidFill>
                <a:schemeClr val="bg1"/>
              </a:solidFill>
              <a:latin typeface="Arial" pitchFamily="34" charset="0"/>
              <a:cs typeface="Arial" pitchFamily="34" charset="0"/>
            </a:rPr>
            <a:t>Total public revenues (net)</a:t>
          </a:r>
          <a:r>
            <a:rPr lang="en-US" sz="900" b="1">
              <a:solidFill>
                <a:schemeClr val="bg1"/>
              </a:solidFill>
              <a:latin typeface="Arial" pitchFamily="34" charset="0"/>
              <a:cs typeface="Arial" pitchFamily="34" charset="0"/>
            </a:rPr>
            <a:t> USD</a:t>
          </a:r>
          <a:r>
            <a:rPr lang="en-GB" sz="900" b="1">
              <a:solidFill>
                <a:schemeClr val="bg1"/>
              </a:solidFill>
              <a:latin typeface="Arial" pitchFamily="34" charset="0"/>
              <a:cs typeface="Arial" pitchFamily="34" charset="0"/>
            </a:rPr>
            <a:t> 3</a:t>
          </a:r>
          <a:r>
            <a:rPr lang="en-US" sz="900" b="1">
              <a:solidFill>
                <a:schemeClr val="bg1"/>
              </a:solidFill>
              <a:latin typeface="Arial" pitchFamily="34" charset="0"/>
              <a:cs typeface="Arial" pitchFamily="34" charset="0"/>
            </a:rPr>
            <a:t>,</a:t>
          </a:r>
          <a:r>
            <a:rPr lang="en-GB" sz="900" b="1">
              <a:solidFill>
                <a:schemeClr val="bg1"/>
              </a:solidFill>
              <a:latin typeface="Arial" pitchFamily="34" charset="0"/>
              <a:cs typeface="Arial" pitchFamily="34" charset="0"/>
            </a:rPr>
            <a:t>433</a:t>
          </a:r>
          <a:r>
            <a:rPr lang="en-US" sz="900" b="1">
              <a:solidFill>
                <a:schemeClr val="bg1"/>
              </a:solidFill>
              <a:latin typeface="Arial" pitchFamily="34" charset="0"/>
              <a:cs typeface="Arial" pitchFamily="34" charset="0"/>
            </a:rPr>
            <a:t> million</a:t>
          </a:r>
          <a:endParaRPr lang="ar-SA" sz="900" b="1">
            <a:solidFill>
              <a:schemeClr val="bg1"/>
            </a:solidFill>
            <a:latin typeface="Arial" pitchFamily="34" charset="0"/>
            <a:cs typeface="Arial" pitchFamily="34" charset="0"/>
          </a:endParaRPr>
        </a:p>
      </dgm:t>
    </dgm:pt>
    <dgm:pt modelId="{536600F9-391D-40DA-8545-A25854FF5F5E}" type="parTrans" cxnId="{5CE7D899-BF04-48E6-84BD-B976F7207B36}">
      <dgm:prSet/>
      <dgm:spPr/>
      <dgm:t>
        <a:bodyPr/>
        <a:lstStyle/>
        <a:p>
          <a:pPr algn="ctr" rtl="1"/>
          <a:endParaRPr lang="ar-SA"/>
        </a:p>
      </dgm:t>
    </dgm:pt>
    <dgm:pt modelId="{72CBE138-1403-4150-BA34-8CD546102AA7}" type="sibTrans" cxnId="{5CE7D899-BF04-48E6-84BD-B976F7207B36}">
      <dgm:prSet/>
      <dgm:spPr/>
      <dgm:t>
        <a:bodyPr/>
        <a:lstStyle/>
        <a:p>
          <a:pPr algn="ctr" rtl="1"/>
          <a:endParaRPr lang="ar-SA"/>
        </a:p>
      </dgm:t>
    </dgm:pt>
    <dgm:pt modelId="{65344892-27E0-4066-B48A-D477EE006895}">
      <dgm:prSet phldrT="[Text]" custT="1"/>
      <dgm:spPr>
        <a:solidFill>
          <a:srgbClr val="BE4B48"/>
        </a:solidFill>
      </dgm:spPr>
      <dgm:t>
        <a:bodyPr/>
        <a:lstStyle/>
        <a:p>
          <a:pPr algn="ctr" rtl="0"/>
          <a:r>
            <a:rPr lang="en-US" sz="900" b="1">
              <a:latin typeface="Arial" pitchFamily="34" charset="0"/>
              <a:cs typeface="Arial" pitchFamily="34" charset="0"/>
            </a:rPr>
            <a:t> (-)</a:t>
          </a:r>
          <a:r>
            <a:rPr lang="en-GB" sz="900" b="1">
              <a:latin typeface="Arial" pitchFamily="34" charset="0"/>
              <a:cs typeface="Arial" pitchFamily="34" charset="0"/>
            </a:rPr>
            <a:t>Tax refunds</a:t>
          </a:r>
          <a:r>
            <a:rPr lang="ar-SA" sz="900" b="1">
              <a:latin typeface="Arial" pitchFamily="34" charset="0"/>
              <a:cs typeface="Arial" pitchFamily="34" charset="0"/>
            </a:rPr>
            <a:t> </a:t>
          </a:r>
          <a:r>
            <a:rPr lang="en-US" sz="900" b="1">
              <a:latin typeface="Arial" pitchFamily="34" charset="0"/>
              <a:cs typeface="Arial" pitchFamily="34" charset="0"/>
            </a:rPr>
            <a:t> USD 171 million</a:t>
          </a:r>
        </a:p>
      </dgm:t>
    </dgm:pt>
    <dgm:pt modelId="{666D2B4E-DCAE-4EA2-B4FB-4509B93B51BB}" type="parTrans" cxnId="{38BFFA0F-38BB-4068-9AA2-7CEB2F686C25}">
      <dgm:prSet/>
      <dgm:spPr/>
      <dgm:t>
        <a:bodyPr/>
        <a:lstStyle/>
        <a:p>
          <a:pPr algn="ctr" rtl="1"/>
          <a:endParaRPr lang="ar-SA"/>
        </a:p>
      </dgm:t>
    </dgm:pt>
    <dgm:pt modelId="{EBC60F99-7437-4EB0-8A33-E0BB657BEFAD}" type="sibTrans" cxnId="{38BFFA0F-38BB-4068-9AA2-7CEB2F686C25}">
      <dgm:prSet/>
      <dgm:spPr/>
      <dgm:t>
        <a:bodyPr/>
        <a:lstStyle/>
        <a:p>
          <a:pPr algn="ctr" rtl="1"/>
          <a:endParaRPr lang="ar-SA"/>
        </a:p>
      </dgm:t>
    </dgm:pt>
    <dgm:pt modelId="{BCCE10E2-8067-47E9-B0F8-F7C8A6A09665}">
      <dgm:prSet phldrT="[Text]" custT="1"/>
      <dgm:spPr>
        <a:solidFill>
          <a:srgbClr val="BE4B48"/>
        </a:solidFill>
      </dgm:spPr>
      <dgm:t>
        <a:bodyPr/>
        <a:lstStyle/>
        <a:p>
          <a:pPr algn="ctr" rtl="0"/>
          <a:r>
            <a:rPr lang="en-GB" sz="900" b="1">
              <a:latin typeface="Arial" pitchFamily="34" charset="0"/>
              <a:cs typeface="Arial" pitchFamily="34" charset="0"/>
            </a:rPr>
            <a:t>Clearance revenues USD</a:t>
          </a:r>
          <a:r>
            <a:rPr lang="ar-SA" sz="900" b="1">
              <a:latin typeface="Arial" pitchFamily="34" charset="0"/>
              <a:cs typeface="Arial" pitchFamily="34" charset="0"/>
            </a:rPr>
            <a:t> </a:t>
          </a:r>
          <a:r>
            <a:rPr lang="en-US" sz="900" b="1">
              <a:latin typeface="Arial" pitchFamily="34" charset="0"/>
              <a:cs typeface="Arial" pitchFamily="34" charset="0"/>
            </a:rPr>
            <a:t>2,255 million</a:t>
          </a:r>
          <a:endParaRPr lang="ar-SA" sz="900" b="1">
            <a:latin typeface="Arial" pitchFamily="34" charset="0"/>
            <a:cs typeface="Arial" pitchFamily="34" charset="0"/>
          </a:endParaRPr>
        </a:p>
      </dgm:t>
    </dgm:pt>
    <dgm:pt modelId="{7A8DA184-A95E-4668-A577-981ECADE0AF7}" type="parTrans" cxnId="{7FD1A238-988D-49EB-BF3F-1262CF4586C7}">
      <dgm:prSet/>
      <dgm:spPr/>
      <dgm:t>
        <a:bodyPr/>
        <a:lstStyle/>
        <a:p>
          <a:pPr algn="ctr" rtl="1"/>
          <a:endParaRPr lang="ar-SA"/>
        </a:p>
      </dgm:t>
    </dgm:pt>
    <dgm:pt modelId="{EBEA419B-2379-4205-B04F-B58ACC9A6DB6}" type="sibTrans" cxnId="{7FD1A238-988D-49EB-BF3F-1262CF4586C7}">
      <dgm:prSet/>
      <dgm:spPr/>
      <dgm:t>
        <a:bodyPr/>
        <a:lstStyle/>
        <a:p>
          <a:pPr algn="ctr" rtl="1"/>
          <a:endParaRPr lang="ar-SA"/>
        </a:p>
      </dgm:t>
    </dgm:pt>
    <dgm:pt modelId="{7C6F89B9-27BF-423F-B92B-BE434F28F6F3}">
      <dgm:prSet phldrT="[Text]" custT="1"/>
      <dgm:spPr>
        <a:solidFill>
          <a:srgbClr val="4F81BD">
            <a:alpha val="90000"/>
          </a:srgbClr>
        </a:solidFill>
      </dgm:spPr>
      <dgm:t>
        <a:bodyPr/>
        <a:lstStyle/>
        <a:p>
          <a:pPr algn="ctr" rtl="0"/>
          <a:r>
            <a:rPr lang="en-GB" sz="900" b="1">
              <a:solidFill>
                <a:schemeClr val="bg1"/>
              </a:solidFill>
              <a:latin typeface="Arial" pitchFamily="34" charset="0"/>
              <a:cs typeface="Arial" pitchFamily="34" charset="0"/>
            </a:rPr>
            <a:t>Current expenditures and net lending</a:t>
          </a:r>
          <a:r>
            <a:rPr lang="en-US" sz="900" b="1">
              <a:solidFill>
                <a:schemeClr val="bg1"/>
              </a:solidFill>
              <a:latin typeface="Arial" pitchFamily="34" charset="0"/>
              <a:cs typeface="Arial" pitchFamily="34" charset="0"/>
            </a:rPr>
            <a:t> USD </a:t>
          </a:r>
          <a:r>
            <a:rPr lang="en-GB" sz="900" b="1">
              <a:solidFill>
                <a:schemeClr val="bg1"/>
              </a:solidFill>
              <a:latin typeface="Arial" pitchFamily="34" charset="0"/>
              <a:cs typeface="Arial" pitchFamily="34" charset="0"/>
            </a:rPr>
            <a:t>4</a:t>
          </a:r>
          <a:r>
            <a:rPr lang="en-US" sz="900" b="1">
              <a:solidFill>
                <a:schemeClr val="bg1"/>
              </a:solidFill>
              <a:latin typeface="Arial" pitchFamily="34" charset="0"/>
              <a:cs typeface="Arial" pitchFamily="34" charset="0"/>
            </a:rPr>
            <a:t>,</a:t>
          </a:r>
          <a:r>
            <a:rPr lang="en-GB" sz="900" b="1">
              <a:solidFill>
                <a:schemeClr val="bg1"/>
              </a:solidFill>
              <a:latin typeface="Arial" pitchFamily="34" charset="0"/>
              <a:cs typeface="Arial" pitchFamily="34" charset="0"/>
            </a:rPr>
            <a:t>154</a:t>
          </a:r>
          <a:r>
            <a:rPr lang="en-US" sz="900" b="1">
              <a:solidFill>
                <a:schemeClr val="bg1"/>
              </a:solidFill>
              <a:latin typeface="Arial" pitchFamily="34" charset="0"/>
              <a:cs typeface="Arial" pitchFamily="34" charset="0"/>
            </a:rPr>
            <a:t> million</a:t>
          </a:r>
          <a:endParaRPr lang="ar-SA" sz="900" b="1">
            <a:solidFill>
              <a:schemeClr val="bg1"/>
            </a:solidFill>
            <a:latin typeface="Arial" pitchFamily="34" charset="0"/>
            <a:cs typeface="Arial" pitchFamily="34" charset="0"/>
          </a:endParaRPr>
        </a:p>
      </dgm:t>
    </dgm:pt>
    <dgm:pt modelId="{A61AF4AC-C070-4F2D-BB17-397DC447B1D2}" type="parTrans" cxnId="{85441315-7C5C-4857-ABEB-4356692C543D}">
      <dgm:prSet/>
      <dgm:spPr/>
      <dgm:t>
        <a:bodyPr/>
        <a:lstStyle/>
        <a:p>
          <a:pPr algn="ctr" rtl="1"/>
          <a:endParaRPr lang="ar-SA"/>
        </a:p>
      </dgm:t>
    </dgm:pt>
    <dgm:pt modelId="{CA23C86A-E5A8-422F-B421-7DA01FF71AE3}" type="sibTrans" cxnId="{85441315-7C5C-4857-ABEB-4356692C543D}">
      <dgm:prSet/>
      <dgm:spPr/>
      <dgm:t>
        <a:bodyPr/>
        <a:lstStyle/>
        <a:p>
          <a:pPr algn="ctr" rtl="1"/>
          <a:endParaRPr lang="ar-SA"/>
        </a:p>
      </dgm:t>
    </dgm:pt>
    <dgm:pt modelId="{79F60617-818A-4BF1-999D-51128352E40B}">
      <dgm:prSet phldrT="[Text]" custT="1"/>
      <dgm:spPr>
        <a:solidFill>
          <a:srgbClr val="4F81BD"/>
        </a:solidFill>
      </dgm:spPr>
      <dgm:t>
        <a:bodyPr/>
        <a:lstStyle/>
        <a:p>
          <a:pPr algn="ctr" rtl="0"/>
          <a:r>
            <a:rPr lang="en-GB" sz="900" b="1">
              <a:latin typeface="Arial" pitchFamily="34" charset="0"/>
              <a:cs typeface="Arial" pitchFamily="34" charset="0"/>
            </a:rPr>
            <a:t>Non-wages expenditures </a:t>
          </a:r>
          <a:r>
            <a:rPr lang="en-US" sz="900" b="1">
              <a:latin typeface="Arial" pitchFamily="34" charset="0"/>
              <a:cs typeface="Arial" pitchFamily="34" charset="0"/>
            </a:rPr>
            <a:t>USD </a:t>
          </a:r>
          <a:r>
            <a:rPr lang="en-GB" sz="900" b="1">
              <a:latin typeface="Arial" pitchFamily="34" charset="0"/>
              <a:cs typeface="Arial" pitchFamily="34" charset="0"/>
            </a:rPr>
            <a:t>2,007</a:t>
          </a:r>
          <a:r>
            <a:rPr lang="ar-SA" sz="900" b="1">
              <a:latin typeface="Arial" pitchFamily="34" charset="0"/>
              <a:cs typeface="Arial" pitchFamily="34" charset="0"/>
            </a:rPr>
            <a:t> </a:t>
          </a:r>
          <a:r>
            <a:rPr lang="en-US" sz="900" b="1">
              <a:latin typeface="Arial" pitchFamily="34" charset="0"/>
              <a:cs typeface="Arial" pitchFamily="34" charset="0"/>
            </a:rPr>
            <a:t>million</a:t>
          </a:r>
          <a:endParaRPr lang="ar-SA" sz="900" b="1">
            <a:latin typeface="Arial" pitchFamily="34" charset="0"/>
            <a:cs typeface="Arial" pitchFamily="34" charset="0"/>
          </a:endParaRPr>
        </a:p>
      </dgm:t>
    </dgm:pt>
    <dgm:pt modelId="{9355F2FC-D403-4D1E-B9C0-39E817EDC270}" type="parTrans" cxnId="{E8577A65-3A5C-4171-9741-8D717EAA00A2}">
      <dgm:prSet/>
      <dgm:spPr/>
      <dgm:t>
        <a:bodyPr/>
        <a:lstStyle/>
        <a:p>
          <a:pPr algn="ctr" rtl="1"/>
          <a:endParaRPr lang="ar-SA"/>
        </a:p>
      </dgm:t>
    </dgm:pt>
    <dgm:pt modelId="{76B7C0C1-2AAE-4A81-8107-FBC4667818B1}" type="sibTrans" cxnId="{E8577A65-3A5C-4171-9741-8D717EAA00A2}">
      <dgm:prSet/>
      <dgm:spPr/>
      <dgm:t>
        <a:bodyPr/>
        <a:lstStyle/>
        <a:p>
          <a:pPr algn="ctr" rtl="1"/>
          <a:endParaRPr lang="ar-SA"/>
        </a:p>
      </dgm:t>
    </dgm:pt>
    <dgm:pt modelId="{B9F792B4-31FB-48E0-94F5-6B471163B547}">
      <dgm:prSet phldrT="[Text]" custT="1"/>
      <dgm:spPr>
        <a:solidFill>
          <a:srgbClr val="4F81BD"/>
        </a:solidFill>
      </dgm:spPr>
      <dgm:t>
        <a:bodyPr/>
        <a:lstStyle/>
        <a:p>
          <a:pPr algn="ctr" rtl="0"/>
          <a:r>
            <a:rPr lang="en-GB" sz="900" b="1">
              <a:latin typeface="Arial" pitchFamily="34" charset="0"/>
              <a:cs typeface="Arial" pitchFamily="34" charset="0"/>
            </a:rPr>
            <a:t>Wages</a:t>
          </a:r>
          <a:r>
            <a:rPr lang="en-GB" sz="900">
              <a:latin typeface="Arial" pitchFamily="34" charset="0"/>
              <a:cs typeface="Arial" pitchFamily="34" charset="0"/>
            </a:rPr>
            <a:t> </a:t>
          </a:r>
          <a:r>
            <a:rPr lang="en-GB" sz="900" b="1">
              <a:latin typeface="Arial" pitchFamily="34" charset="0"/>
              <a:cs typeface="Arial" pitchFamily="34" charset="0"/>
            </a:rPr>
            <a:t>and</a:t>
          </a:r>
          <a:r>
            <a:rPr lang="en-GB" sz="900">
              <a:latin typeface="Arial" pitchFamily="34" charset="0"/>
              <a:cs typeface="Arial" pitchFamily="34" charset="0"/>
            </a:rPr>
            <a:t> </a:t>
          </a:r>
          <a:r>
            <a:rPr lang="en-GB" sz="900" b="1">
              <a:latin typeface="Arial" pitchFamily="34" charset="0"/>
              <a:cs typeface="Arial" pitchFamily="34" charset="0"/>
            </a:rPr>
            <a:t>salaries</a:t>
          </a:r>
          <a:r>
            <a:rPr lang="en-US" sz="900">
              <a:latin typeface="Arial" pitchFamily="34" charset="0"/>
              <a:cs typeface="Arial" pitchFamily="34" charset="0"/>
            </a:rPr>
            <a:t> </a:t>
          </a:r>
          <a:r>
            <a:rPr lang="en-US" sz="900" b="1">
              <a:latin typeface="Arial" pitchFamily="34" charset="0"/>
              <a:cs typeface="Arial" pitchFamily="34" charset="0"/>
            </a:rPr>
            <a:t>USD </a:t>
          </a:r>
          <a:r>
            <a:rPr lang="en-GB" sz="900" b="1">
              <a:latin typeface="Arial" pitchFamily="34" charset="0"/>
              <a:cs typeface="Arial" pitchFamily="34" charset="0"/>
            </a:rPr>
            <a:t>1,799</a:t>
          </a:r>
          <a:r>
            <a:rPr lang="en-US" sz="900" b="1">
              <a:latin typeface="Arial" pitchFamily="34" charset="0"/>
              <a:cs typeface="Arial" pitchFamily="34" charset="0"/>
            </a:rPr>
            <a:t> million</a:t>
          </a:r>
          <a:endParaRPr lang="ar-SA" sz="900" b="1">
            <a:latin typeface="Arial" pitchFamily="34" charset="0"/>
            <a:cs typeface="Arial" pitchFamily="34" charset="0"/>
          </a:endParaRPr>
        </a:p>
      </dgm:t>
    </dgm:pt>
    <dgm:pt modelId="{397F19EA-CE64-4E2B-BC04-C076E124E34F}" type="parTrans" cxnId="{FACD132C-2C46-4A9F-8616-1065F3CDD310}">
      <dgm:prSet/>
      <dgm:spPr/>
      <dgm:t>
        <a:bodyPr/>
        <a:lstStyle/>
        <a:p>
          <a:pPr algn="ctr" rtl="1"/>
          <a:endParaRPr lang="ar-SA"/>
        </a:p>
      </dgm:t>
    </dgm:pt>
    <dgm:pt modelId="{EC36FF80-450C-4E4B-A9B4-2CC0EF92BC71}" type="sibTrans" cxnId="{FACD132C-2C46-4A9F-8616-1065F3CDD310}">
      <dgm:prSet/>
      <dgm:spPr/>
      <dgm:t>
        <a:bodyPr/>
        <a:lstStyle/>
        <a:p>
          <a:pPr algn="ctr" rtl="1"/>
          <a:endParaRPr lang="ar-SA"/>
        </a:p>
      </dgm:t>
    </dgm:pt>
    <dgm:pt modelId="{E214A6E1-A100-4EA0-A407-1DC23D31F5FD}">
      <dgm:prSet phldrT="[Text]" custT="1"/>
      <dgm:spPr>
        <a:solidFill>
          <a:srgbClr val="4F81BD"/>
        </a:solidFill>
      </dgm:spPr>
      <dgm:t>
        <a:bodyPr/>
        <a:lstStyle/>
        <a:p>
          <a:pPr algn="ctr" rtl="0"/>
          <a:r>
            <a:rPr lang="en-GB" sz="900" b="1">
              <a:latin typeface="Arial" pitchFamily="34" charset="0"/>
              <a:cs typeface="Arial" pitchFamily="34" charset="0"/>
            </a:rPr>
            <a:t>Earmarked payments</a:t>
          </a:r>
          <a:r>
            <a:rPr lang="en-US" sz="900" b="1">
              <a:latin typeface="Arial" pitchFamily="34" charset="0"/>
              <a:cs typeface="Arial" pitchFamily="34" charset="0"/>
            </a:rPr>
            <a:t> USD 77 million</a:t>
          </a:r>
          <a:endParaRPr lang="ar-SA" sz="900" b="1">
            <a:latin typeface="Arial" pitchFamily="34" charset="0"/>
            <a:cs typeface="Arial" pitchFamily="34" charset="0"/>
          </a:endParaRPr>
        </a:p>
      </dgm:t>
    </dgm:pt>
    <dgm:pt modelId="{47D95695-D3EF-45E1-9A18-1C10CBE94701}" type="parTrans" cxnId="{00EB2561-CA88-4394-A245-1523DD4791F7}">
      <dgm:prSet/>
      <dgm:spPr/>
      <dgm:t>
        <a:bodyPr/>
        <a:lstStyle/>
        <a:p>
          <a:pPr algn="ctr" rtl="1"/>
          <a:endParaRPr lang="ar-SA"/>
        </a:p>
      </dgm:t>
    </dgm:pt>
    <dgm:pt modelId="{876EE18C-6514-4180-844F-7EC5F6D299B5}" type="sibTrans" cxnId="{00EB2561-CA88-4394-A245-1523DD4791F7}">
      <dgm:prSet/>
      <dgm:spPr/>
      <dgm:t>
        <a:bodyPr/>
        <a:lstStyle/>
        <a:p>
          <a:pPr algn="ctr" rtl="1"/>
          <a:endParaRPr lang="ar-SA"/>
        </a:p>
      </dgm:t>
    </dgm:pt>
    <dgm:pt modelId="{D8C85C01-F92B-4893-B1A6-F9E66DE7352C}">
      <dgm:prSet custT="1"/>
      <dgm:spPr>
        <a:solidFill>
          <a:srgbClr val="4F81BD"/>
        </a:solidFill>
      </dgm:spPr>
      <dgm:t>
        <a:bodyPr/>
        <a:lstStyle/>
        <a:p>
          <a:pPr rtl="0"/>
          <a:r>
            <a:rPr lang="en-US" sz="900" b="1">
              <a:latin typeface="Arial" pitchFamily="34" charset="0"/>
              <a:cs typeface="Arial" pitchFamily="34" charset="0"/>
            </a:rPr>
            <a:t>Net </a:t>
          </a:r>
          <a:r>
            <a:rPr lang="en-GB" sz="900" b="1">
              <a:latin typeface="Arial" pitchFamily="34" charset="0"/>
              <a:cs typeface="Arial" pitchFamily="34" charset="0"/>
            </a:rPr>
            <a:t>lending </a:t>
          </a:r>
          <a:r>
            <a:rPr lang="en-US" sz="900" b="1">
              <a:latin typeface="Arial" pitchFamily="34" charset="0"/>
              <a:cs typeface="Arial" pitchFamily="34" charset="0"/>
            </a:rPr>
            <a:t>USD</a:t>
          </a:r>
          <a:r>
            <a:rPr lang="ar-SA" sz="900" b="1">
              <a:latin typeface="Arial" pitchFamily="34" charset="0"/>
              <a:cs typeface="Arial" pitchFamily="34" charset="0"/>
            </a:rPr>
            <a:t>271 </a:t>
          </a:r>
          <a:r>
            <a:rPr lang="en-US" sz="900" b="1">
              <a:latin typeface="Arial" pitchFamily="34" charset="0"/>
              <a:cs typeface="Arial" pitchFamily="34" charset="0"/>
            </a:rPr>
            <a:t>million</a:t>
          </a:r>
          <a:endParaRPr lang="en-GB" sz="900" b="1">
            <a:latin typeface="Arial" pitchFamily="34" charset="0"/>
            <a:cs typeface="Arial" pitchFamily="34" charset="0"/>
          </a:endParaRPr>
        </a:p>
      </dgm:t>
    </dgm:pt>
    <dgm:pt modelId="{F5916437-AE35-4F94-9AD5-7E5B15D701CD}" type="parTrans" cxnId="{62D6E8B1-77D1-4877-A499-08669B50F161}">
      <dgm:prSet/>
      <dgm:spPr/>
      <dgm:t>
        <a:bodyPr/>
        <a:lstStyle/>
        <a:p>
          <a:endParaRPr lang="en-GB"/>
        </a:p>
      </dgm:t>
    </dgm:pt>
    <dgm:pt modelId="{AB01BD40-4E9C-4583-81FB-475C80DF4E1B}" type="sibTrans" cxnId="{62D6E8B1-77D1-4877-A499-08669B50F161}">
      <dgm:prSet/>
      <dgm:spPr/>
      <dgm:t>
        <a:bodyPr/>
        <a:lstStyle/>
        <a:p>
          <a:endParaRPr lang="en-GB"/>
        </a:p>
      </dgm:t>
    </dgm:pt>
    <dgm:pt modelId="{D5E207DA-33CA-478A-9906-73F6E0A992D0}">
      <dgm:prSet/>
      <dgm:spPr/>
      <dgm:t>
        <a:bodyPr/>
        <a:lstStyle/>
        <a:p>
          <a:endParaRPr lang="en-GB"/>
        </a:p>
      </dgm:t>
    </dgm:pt>
    <dgm:pt modelId="{CEC87C19-7B91-4C06-9090-5BD3AEE9E411}" type="parTrans" cxnId="{7EEE49CC-7976-48DB-BFA5-99E81D87CACC}">
      <dgm:prSet/>
      <dgm:spPr/>
      <dgm:t>
        <a:bodyPr/>
        <a:lstStyle/>
        <a:p>
          <a:endParaRPr lang="en-GB"/>
        </a:p>
      </dgm:t>
    </dgm:pt>
    <dgm:pt modelId="{E5A6B3B6-2156-43AD-8E1A-D23BBE152458}" type="sibTrans" cxnId="{7EEE49CC-7976-48DB-BFA5-99E81D87CACC}">
      <dgm:prSet/>
      <dgm:spPr/>
      <dgm:t>
        <a:bodyPr/>
        <a:lstStyle/>
        <a:p>
          <a:endParaRPr lang="en-GB"/>
        </a:p>
      </dgm:t>
    </dgm:pt>
    <dgm:pt modelId="{3AAD5784-205E-4ED4-A393-57DA9ED81CF2}">
      <dgm:prSet custT="1"/>
      <dgm:spPr>
        <a:solidFill>
          <a:srgbClr val="BE4B48"/>
        </a:solidFill>
      </dgm:spPr>
      <dgm:t>
        <a:bodyPr/>
        <a:lstStyle/>
        <a:p>
          <a:pPr rtl="0"/>
          <a:r>
            <a:rPr lang="en-GB" sz="900" b="1">
              <a:latin typeface="Arial" pitchFamily="34" charset="0"/>
              <a:cs typeface="Arial" pitchFamily="34" charset="0"/>
            </a:rPr>
            <a:t>Gross domestic revenues USD </a:t>
          </a:r>
          <a:r>
            <a:rPr lang="en-US" sz="900" b="1">
              <a:latin typeface="Arial" pitchFamily="34" charset="0"/>
              <a:cs typeface="Arial" pitchFamily="34" charset="0"/>
            </a:rPr>
            <a:t>1,349</a:t>
          </a:r>
          <a:r>
            <a:rPr lang="ar-SA" sz="900" b="1">
              <a:latin typeface="Arial" pitchFamily="34" charset="0"/>
              <a:cs typeface="Arial" pitchFamily="34" charset="0"/>
            </a:rPr>
            <a:t> </a:t>
          </a:r>
          <a:r>
            <a:rPr lang="en-US" sz="900" b="1">
              <a:latin typeface="Arial" pitchFamily="34" charset="0"/>
              <a:cs typeface="Arial" pitchFamily="34" charset="0"/>
            </a:rPr>
            <a:t>million</a:t>
          </a:r>
          <a:endParaRPr lang="en-GB" sz="900" b="1">
            <a:latin typeface="Arial" pitchFamily="34" charset="0"/>
            <a:cs typeface="Arial" pitchFamily="34" charset="0"/>
          </a:endParaRPr>
        </a:p>
      </dgm:t>
    </dgm:pt>
    <dgm:pt modelId="{ED0DBCB6-739B-41A5-A6E1-6D1E80F92DCC}" type="parTrans" cxnId="{A44CFD12-33B2-427B-AECD-2300629B57D3}">
      <dgm:prSet/>
      <dgm:spPr/>
      <dgm:t>
        <a:bodyPr/>
        <a:lstStyle/>
        <a:p>
          <a:endParaRPr lang="en-GB"/>
        </a:p>
      </dgm:t>
    </dgm:pt>
    <dgm:pt modelId="{BE9D08ED-D674-4643-9602-6DF4D3BDF564}" type="sibTrans" cxnId="{A44CFD12-33B2-427B-AECD-2300629B57D3}">
      <dgm:prSet/>
      <dgm:spPr/>
      <dgm:t>
        <a:bodyPr/>
        <a:lstStyle/>
        <a:p>
          <a:endParaRPr lang="en-GB"/>
        </a:p>
      </dgm:t>
    </dgm:pt>
    <dgm:pt modelId="{6E6EC176-654F-4C02-B833-7A89A15254AD}" type="pres">
      <dgm:prSet presAssocID="{6BCBE8AB-8E03-4D75-AEAD-EC85E313DC57}" presName="outerComposite" presStyleCnt="0">
        <dgm:presLayoutVars>
          <dgm:chMax val="2"/>
          <dgm:animLvl val="lvl"/>
          <dgm:resizeHandles val="exact"/>
        </dgm:presLayoutVars>
      </dgm:prSet>
      <dgm:spPr/>
      <dgm:t>
        <a:bodyPr/>
        <a:lstStyle/>
        <a:p>
          <a:endParaRPr lang="en-GB"/>
        </a:p>
      </dgm:t>
    </dgm:pt>
    <dgm:pt modelId="{E657DAE2-584C-4B95-B6F3-909C5A7D02AE}" type="pres">
      <dgm:prSet presAssocID="{6BCBE8AB-8E03-4D75-AEAD-EC85E313DC57}" presName="dummyMaxCanvas" presStyleCnt="0"/>
      <dgm:spPr/>
      <dgm:t>
        <a:bodyPr/>
        <a:lstStyle/>
        <a:p>
          <a:endParaRPr lang="en-GB"/>
        </a:p>
      </dgm:t>
    </dgm:pt>
    <dgm:pt modelId="{16EAD12F-7941-4BE1-8826-7930E940B730}" type="pres">
      <dgm:prSet presAssocID="{6BCBE8AB-8E03-4D75-AEAD-EC85E313DC57}" presName="parentComposite" presStyleCnt="0"/>
      <dgm:spPr/>
      <dgm:t>
        <a:bodyPr/>
        <a:lstStyle/>
        <a:p>
          <a:endParaRPr lang="en-GB"/>
        </a:p>
      </dgm:t>
    </dgm:pt>
    <dgm:pt modelId="{47575629-D2D3-4F95-AC38-5FD632E7DFC0}" type="pres">
      <dgm:prSet presAssocID="{6BCBE8AB-8E03-4D75-AEAD-EC85E313DC57}" presName="parent1" presStyleLbl="alignAccFollowNode1" presStyleIdx="0" presStyleCnt="4">
        <dgm:presLayoutVars>
          <dgm:chMax val="4"/>
        </dgm:presLayoutVars>
      </dgm:prSet>
      <dgm:spPr/>
      <dgm:t>
        <a:bodyPr/>
        <a:lstStyle/>
        <a:p>
          <a:pPr rtl="1"/>
          <a:endParaRPr lang="ar-SA"/>
        </a:p>
      </dgm:t>
    </dgm:pt>
    <dgm:pt modelId="{54C941AA-B0F8-4097-B029-A26EBAAD7A86}" type="pres">
      <dgm:prSet presAssocID="{6BCBE8AB-8E03-4D75-AEAD-EC85E313DC57}" presName="parent2" presStyleLbl="alignAccFollowNode1" presStyleIdx="1" presStyleCnt="4" custScaleX="107448">
        <dgm:presLayoutVars>
          <dgm:chMax val="4"/>
        </dgm:presLayoutVars>
      </dgm:prSet>
      <dgm:spPr/>
      <dgm:t>
        <a:bodyPr/>
        <a:lstStyle/>
        <a:p>
          <a:endParaRPr lang="en-GB"/>
        </a:p>
      </dgm:t>
    </dgm:pt>
    <dgm:pt modelId="{E4255F95-7333-44A4-A6E4-10474DA93848}" type="pres">
      <dgm:prSet presAssocID="{6BCBE8AB-8E03-4D75-AEAD-EC85E313DC57}" presName="childrenComposite" presStyleCnt="0"/>
      <dgm:spPr/>
      <dgm:t>
        <a:bodyPr/>
        <a:lstStyle/>
        <a:p>
          <a:endParaRPr lang="en-GB"/>
        </a:p>
      </dgm:t>
    </dgm:pt>
    <dgm:pt modelId="{6923A119-1571-4BAF-9290-D40240788FE6}" type="pres">
      <dgm:prSet presAssocID="{6BCBE8AB-8E03-4D75-AEAD-EC85E313DC57}" presName="dummyMaxCanvas_ChildArea" presStyleCnt="0"/>
      <dgm:spPr/>
      <dgm:t>
        <a:bodyPr/>
        <a:lstStyle/>
        <a:p>
          <a:endParaRPr lang="en-GB"/>
        </a:p>
      </dgm:t>
    </dgm:pt>
    <dgm:pt modelId="{2444A4B5-8DAC-41F4-90B7-E5BDF02B7CF2}" type="pres">
      <dgm:prSet presAssocID="{6BCBE8AB-8E03-4D75-AEAD-EC85E313DC57}" presName="fulcrum" presStyleLbl="alignAccFollowNode1" presStyleIdx="2" presStyleCnt="4"/>
      <dgm:spPr/>
      <dgm:t>
        <a:bodyPr/>
        <a:lstStyle/>
        <a:p>
          <a:endParaRPr lang="en-GB"/>
        </a:p>
      </dgm:t>
    </dgm:pt>
    <dgm:pt modelId="{85FBBF72-2D31-4A66-9D59-D364A2611010}" type="pres">
      <dgm:prSet presAssocID="{6BCBE8AB-8E03-4D75-AEAD-EC85E313DC57}" presName="balance_34" presStyleLbl="alignAccFollowNode1" presStyleIdx="3" presStyleCnt="4">
        <dgm:presLayoutVars>
          <dgm:bulletEnabled val="1"/>
        </dgm:presLayoutVars>
      </dgm:prSet>
      <dgm:spPr/>
      <dgm:t>
        <a:bodyPr/>
        <a:lstStyle/>
        <a:p>
          <a:endParaRPr lang="en-GB"/>
        </a:p>
      </dgm:t>
    </dgm:pt>
    <dgm:pt modelId="{E9A7B901-5D8D-4858-B937-489F7436E57C}" type="pres">
      <dgm:prSet presAssocID="{6BCBE8AB-8E03-4D75-AEAD-EC85E313DC57}" presName="right_34_1" presStyleLbl="node1" presStyleIdx="0" presStyleCnt="7">
        <dgm:presLayoutVars>
          <dgm:bulletEnabled val="1"/>
        </dgm:presLayoutVars>
      </dgm:prSet>
      <dgm:spPr/>
      <dgm:t>
        <a:bodyPr/>
        <a:lstStyle/>
        <a:p>
          <a:endParaRPr lang="en-GB"/>
        </a:p>
      </dgm:t>
    </dgm:pt>
    <dgm:pt modelId="{39DEDC10-DFD3-44F0-8C39-32D4FE9096F3}" type="pres">
      <dgm:prSet presAssocID="{6BCBE8AB-8E03-4D75-AEAD-EC85E313DC57}" presName="right_34_2" presStyleLbl="node1" presStyleIdx="1" presStyleCnt="7">
        <dgm:presLayoutVars>
          <dgm:bulletEnabled val="1"/>
        </dgm:presLayoutVars>
      </dgm:prSet>
      <dgm:spPr/>
      <dgm:t>
        <a:bodyPr/>
        <a:lstStyle/>
        <a:p>
          <a:endParaRPr lang="en-GB"/>
        </a:p>
      </dgm:t>
    </dgm:pt>
    <dgm:pt modelId="{E2EAEBB8-6B27-41EC-B8D3-D68CEFC425D7}" type="pres">
      <dgm:prSet presAssocID="{6BCBE8AB-8E03-4D75-AEAD-EC85E313DC57}" presName="right_34_3" presStyleLbl="node1" presStyleIdx="2" presStyleCnt="7">
        <dgm:presLayoutVars>
          <dgm:bulletEnabled val="1"/>
        </dgm:presLayoutVars>
      </dgm:prSet>
      <dgm:spPr/>
      <dgm:t>
        <a:bodyPr/>
        <a:lstStyle/>
        <a:p>
          <a:endParaRPr lang="en-GB"/>
        </a:p>
      </dgm:t>
    </dgm:pt>
    <dgm:pt modelId="{0CE3219A-ABC0-49EA-AD04-581A97630005}" type="pres">
      <dgm:prSet presAssocID="{6BCBE8AB-8E03-4D75-AEAD-EC85E313DC57}" presName="right_34_4" presStyleLbl="node1" presStyleIdx="3" presStyleCnt="7" custScaleY="109430">
        <dgm:presLayoutVars>
          <dgm:bulletEnabled val="1"/>
        </dgm:presLayoutVars>
      </dgm:prSet>
      <dgm:spPr/>
      <dgm:t>
        <a:bodyPr/>
        <a:lstStyle/>
        <a:p>
          <a:endParaRPr lang="en-GB"/>
        </a:p>
      </dgm:t>
    </dgm:pt>
    <dgm:pt modelId="{1156C3DF-5FA0-4033-BC11-9A0465E83311}" type="pres">
      <dgm:prSet presAssocID="{6BCBE8AB-8E03-4D75-AEAD-EC85E313DC57}" presName="left_34_1" presStyleLbl="node1" presStyleIdx="4" presStyleCnt="7">
        <dgm:presLayoutVars>
          <dgm:bulletEnabled val="1"/>
        </dgm:presLayoutVars>
      </dgm:prSet>
      <dgm:spPr/>
      <dgm:t>
        <a:bodyPr/>
        <a:lstStyle/>
        <a:p>
          <a:endParaRPr lang="en-GB"/>
        </a:p>
      </dgm:t>
    </dgm:pt>
    <dgm:pt modelId="{093C0EFC-9695-48AE-BEB4-7D6BC875203C}" type="pres">
      <dgm:prSet presAssocID="{6BCBE8AB-8E03-4D75-AEAD-EC85E313DC57}" presName="left_34_2" presStyleLbl="node1" presStyleIdx="5" presStyleCnt="7">
        <dgm:presLayoutVars>
          <dgm:bulletEnabled val="1"/>
        </dgm:presLayoutVars>
      </dgm:prSet>
      <dgm:spPr/>
      <dgm:t>
        <a:bodyPr/>
        <a:lstStyle/>
        <a:p>
          <a:endParaRPr lang="en-GB"/>
        </a:p>
      </dgm:t>
    </dgm:pt>
    <dgm:pt modelId="{FE424196-97AB-4579-B08B-0B3BFF3F49F7}" type="pres">
      <dgm:prSet presAssocID="{6BCBE8AB-8E03-4D75-AEAD-EC85E313DC57}" presName="left_34_3" presStyleLbl="node1" presStyleIdx="6" presStyleCnt="7" custScaleY="126748" custLinFactNeighborX="-806" custLinFactNeighborY="-9944">
        <dgm:presLayoutVars>
          <dgm:bulletEnabled val="1"/>
        </dgm:presLayoutVars>
      </dgm:prSet>
      <dgm:spPr/>
      <dgm:t>
        <a:bodyPr/>
        <a:lstStyle/>
        <a:p>
          <a:endParaRPr lang="en-GB"/>
        </a:p>
      </dgm:t>
    </dgm:pt>
  </dgm:ptLst>
  <dgm:cxnLst>
    <dgm:cxn modelId="{38BFFA0F-38BB-4068-9AA2-7CEB2F686C25}" srcId="{6AABF7D9-83CD-462D-817D-C44C7FBDF9CB}" destId="{65344892-27E0-4066-B48A-D477EE006895}" srcOrd="0" destOrd="0" parTransId="{666D2B4E-DCAE-4EA2-B4FB-4509B93B51BB}" sibTransId="{EBC60F99-7437-4EB0-8A33-E0BB657BEFAD}"/>
    <dgm:cxn modelId="{62D6E8B1-77D1-4877-A499-08669B50F161}" srcId="{7C6F89B9-27BF-423F-B92B-BE434F28F6F3}" destId="{D8C85C01-F92B-4893-B1A6-F9E66DE7352C}" srcOrd="2" destOrd="0" parTransId="{F5916437-AE35-4F94-9AD5-7E5B15D701CD}" sibTransId="{AB01BD40-4E9C-4583-81FB-475C80DF4E1B}"/>
    <dgm:cxn modelId="{1CFE1B2C-D963-4EBC-A728-60E47B2DD03A}" type="presOf" srcId="{BCCE10E2-8067-47E9-B0F8-F7C8A6A09665}" destId="{093C0EFC-9695-48AE-BEB4-7D6BC875203C}" srcOrd="0" destOrd="0" presId="urn:microsoft.com/office/officeart/2005/8/layout/balance1"/>
    <dgm:cxn modelId="{F5D8DCA4-CB71-4527-88A7-642C3EFB6269}" type="presOf" srcId="{65344892-27E0-4066-B48A-D477EE006895}" destId="{1156C3DF-5FA0-4033-BC11-9A0465E83311}" srcOrd="0" destOrd="0" presId="urn:microsoft.com/office/officeart/2005/8/layout/balance1"/>
    <dgm:cxn modelId="{F06A97D3-5C45-4D2F-8646-E14B4394BA14}" type="presOf" srcId="{6AABF7D9-83CD-462D-817D-C44C7FBDF9CB}" destId="{47575629-D2D3-4F95-AC38-5FD632E7DFC0}" srcOrd="0" destOrd="0" presId="urn:microsoft.com/office/officeart/2005/8/layout/balance1"/>
    <dgm:cxn modelId="{7FD1A238-988D-49EB-BF3F-1262CF4586C7}" srcId="{6AABF7D9-83CD-462D-817D-C44C7FBDF9CB}" destId="{BCCE10E2-8067-47E9-B0F8-F7C8A6A09665}" srcOrd="1" destOrd="0" parTransId="{7A8DA184-A95E-4668-A577-981ECADE0AF7}" sibTransId="{EBEA419B-2379-4205-B04F-B58ACC9A6DB6}"/>
    <dgm:cxn modelId="{FACD132C-2C46-4A9F-8616-1065F3CDD310}" srcId="{7C6F89B9-27BF-423F-B92B-BE434F28F6F3}" destId="{B9F792B4-31FB-48E0-94F5-6B471163B547}" srcOrd="1" destOrd="0" parTransId="{397F19EA-CE64-4E2B-BC04-C076E124E34F}" sibTransId="{EC36FF80-450C-4E4B-A9B4-2CC0EF92BC71}"/>
    <dgm:cxn modelId="{9C87C45F-C19F-4EBA-A633-8E7D16802369}" type="presOf" srcId="{3AAD5784-205E-4ED4-A393-57DA9ED81CF2}" destId="{FE424196-97AB-4579-B08B-0B3BFF3F49F7}" srcOrd="0" destOrd="0" presId="urn:microsoft.com/office/officeart/2005/8/layout/balance1"/>
    <dgm:cxn modelId="{D1795B12-DEB0-4503-A1C2-03865408B9B9}" type="presOf" srcId="{B9F792B4-31FB-48E0-94F5-6B471163B547}" destId="{39DEDC10-DFD3-44F0-8C39-32D4FE9096F3}" srcOrd="0" destOrd="0" presId="urn:microsoft.com/office/officeart/2005/8/layout/balance1"/>
    <dgm:cxn modelId="{376B5462-A3BF-4BEC-B998-65610BB48EDF}" type="presOf" srcId="{7C6F89B9-27BF-423F-B92B-BE434F28F6F3}" destId="{54C941AA-B0F8-4097-B029-A26EBAAD7A86}" srcOrd="0" destOrd="0" presId="urn:microsoft.com/office/officeart/2005/8/layout/balance1"/>
    <dgm:cxn modelId="{7EEE49CC-7976-48DB-BFA5-99E81D87CACC}" srcId="{6BCBE8AB-8E03-4D75-AEAD-EC85E313DC57}" destId="{D5E207DA-33CA-478A-9906-73F6E0A992D0}" srcOrd="2" destOrd="0" parTransId="{CEC87C19-7B91-4C06-9090-5BD3AEE9E411}" sibTransId="{E5A6B3B6-2156-43AD-8E1A-D23BBE152458}"/>
    <dgm:cxn modelId="{806E248E-FB85-4B51-B3B1-4D760E5360F5}" type="presOf" srcId="{6BCBE8AB-8E03-4D75-AEAD-EC85E313DC57}" destId="{6E6EC176-654F-4C02-B833-7A89A15254AD}" srcOrd="0" destOrd="0" presId="urn:microsoft.com/office/officeart/2005/8/layout/balance1"/>
    <dgm:cxn modelId="{A44CFD12-33B2-427B-AECD-2300629B57D3}" srcId="{6AABF7D9-83CD-462D-817D-C44C7FBDF9CB}" destId="{3AAD5784-205E-4ED4-A393-57DA9ED81CF2}" srcOrd="2" destOrd="0" parTransId="{ED0DBCB6-739B-41A5-A6E1-6D1E80F92DCC}" sibTransId="{BE9D08ED-D674-4643-9602-6DF4D3BDF564}"/>
    <dgm:cxn modelId="{00EB2561-CA88-4394-A245-1523DD4791F7}" srcId="{7C6F89B9-27BF-423F-B92B-BE434F28F6F3}" destId="{E214A6E1-A100-4EA0-A407-1DC23D31F5FD}" srcOrd="3" destOrd="0" parTransId="{47D95695-D3EF-45E1-9A18-1C10CBE94701}" sibTransId="{876EE18C-6514-4180-844F-7EC5F6D299B5}"/>
    <dgm:cxn modelId="{F9E649EA-52A2-495A-8577-BD081FF55BF2}" type="presOf" srcId="{D8C85C01-F92B-4893-B1A6-F9E66DE7352C}" destId="{E2EAEBB8-6B27-41EC-B8D3-D68CEFC425D7}" srcOrd="0" destOrd="0" presId="urn:microsoft.com/office/officeart/2005/8/layout/balance1"/>
    <dgm:cxn modelId="{85A71561-44F1-45FA-BDC8-8F4C6FC41330}" type="presOf" srcId="{79F60617-818A-4BF1-999D-51128352E40B}" destId="{E9A7B901-5D8D-4858-B937-489F7436E57C}" srcOrd="0" destOrd="0" presId="urn:microsoft.com/office/officeart/2005/8/layout/balance1"/>
    <dgm:cxn modelId="{5CE7D899-BF04-48E6-84BD-B976F7207B36}" srcId="{6BCBE8AB-8E03-4D75-AEAD-EC85E313DC57}" destId="{6AABF7D9-83CD-462D-817D-C44C7FBDF9CB}" srcOrd="0" destOrd="0" parTransId="{536600F9-391D-40DA-8545-A25854FF5F5E}" sibTransId="{72CBE138-1403-4150-BA34-8CD546102AA7}"/>
    <dgm:cxn modelId="{672398D4-CED7-4598-8814-DF113E8098F7}" type="presOf" srcId="{E214A6E1-A100-4EA0-A407-1DC23D31F5FD}" destId="{0CE3219A-ABC0-49EA-AD04-581A97630005}" srcOrd="0" destOrd="0" presId="urn:microsoft.com/office/officeart/2005/8/layout/balance1"/>
    <dgm:cxn modelId="{85441315-7C5C-4857-ABEB-4356692C543D}" srcId="{6BCBE8AB-8E03-4D75-AEAD-EC85E313DC57}" destId="{7C6F89B9-27BF-423F-B92B-BE434F28F6F3}" srcOrd="1" destOrd="0" parTransId="{A61AF4AC-C070-4F2D-BB17-397DC447B1D2}" sibTransId="{CA23C86A-E5A8-422F-B421-7DA01FF71AE3}"/>
    <dgm:cxn modelId="{E8577A65-3A5C-4171-9741-8D717EAA00A2}" srcId="{7C6F89B9-27BF-423F-B92B-BE434F28F6F3}" destId="{79F60617-818A-4BF1-999D-51128352E40B}" srcOrd="0" destOrd="0" parTransId="{9355F2FC-D403-4D1E-B9C0-39E817EDC270}" sibTransId="{76B7C0C1-2AAE-4A81-8107-FBC4667818B1}"/>
    <dgm:cxn modelId="{F380D075-0409-4F55-AB94-EAF96CC28A35}" type="presParOf" srcId="{6E6EC176-654F-4C02-B833-7A89A15254AD}" destId="{E657DAE2-584C-4B95-B6F3-909C5A7D02AE}" srcOrd="0" destOrd="0" presId="urn:microsoft.com/office/officeart/2005/8/layout/balance1"/>
    <dgm:cxn modelId="{6FF5337E-5BFF-4E9F-B6D3-840E84E66140}" type="presParOf" srcId="{6E6EC176-654F-4C02-B833-7A89A15254AD}" destId="{16EAD12F-7941-4BE1-8826-7930E940B730}" srcOrd="1" destOrd="0" presId="urn:microsoft.com/office/officeart/2005/8/layout/balance1"/>
    <dgm:cxn modelId="{A759B6AF-894F-4C08-96AF-2E4A0F12AF29}" type="presParOf" srcId="{16EAD12F-7941-4BE1-8826-7930E940B730}" destId="{47575629-D2D3-4F95-AC38-5FD632E7DFC0}" srcOrd="0" destOrd="0" presId="urn:microsoft.com/office/officeart/2005/8/layout/balance1"/>
    <dgm:cxn modelId="{E3435B43-A1B2-48B4-AF25-B6BF24FC6386}" type="presParOf" srcId="{16EAD12F-7941-4BE1-8826-7930E940B730}" destId="{54C941AA-B0F8-4097-B029-A26EBAAD7A86}" srcOrd="1" destOrd="0" presId="urn:microsoft.com/office/officeart/2005/8/layout/balance1"/>
    <dgm:cxn modelId="{BE8CF1F0-CC8C-4851-81AA-8AED549204A1}" type="presParOf" srcId="{6E6EC176-654F-4C02-B833-7A89A15254AD}" destId="{E4255F95-7333-44A4-A6E4-10474DA93848}" srcOrd="2" destOrd="0" presId="urn:microsoft.com/office/officeart/2005/8/layout/balance1"/>
    <dgm:cxn modelId="{A286C51E-04DC-4289-8609-5D9F4F049F94}" type="presParOf" srcId="{E4255F95-7333-44A4-A6E4-10474DA93848}" destId="{6923A119-1571-4BAF-9290-D40240788FE6}" srcOrd="0" destOrd="0" presId="urn:microsoft.com/office/officeart/2005/8/layout/balance1"/>
    <dgm:cxn modelId="{B441C549-AD1B-48C0-8ED8-3BF6F3E95584}" type="presParOf" srcId="{E4255F95-7333-44A4-A6E4-10474DA93848}" destId="{2444A4B5-8DAC-41F4-90B7-E5BDF02B7CF2}" srcOrd="1" destOrd="0" presId="urn:microsoft.com/office/officeart/2005/8/layout/balance1"/>
    <dgm:cxn modelId="{2152CC2F-C804-4656-860B-E70574C0205B}" type="presParOf" srcId="{E4255F95-7333-44A4-A6E4-10474DA93848}" destId="{85FBBF72-2D31-4A66-9D59-D364A2611010}" srcOrd="2" destOrd="0" presId="urn:microsoft.com/office/officeart/2005/8/layout/balance1"/>
    <dgm:cxn modelId="{AA4C449B-CDD6-4A7A-A4AA-77AEF32C2EB2}" type="presParOf" srcId="{E4255F95-7333-44A4-A6E4-10474DA93848}" destId="{E9A7B901-5D8D-4858-B937-489F7436E57C}" srcOrd="3" destOrd="0" presId="urn:microsoft.com/office/officeart/2005/8/layout/balance1"/>
    <dgm:cxn modelId="{8A4A35F2-02C8-4C4B-89A9-301CB49B58E2}" type="presParOf" srcId="{E4255F95-7333-44A4-A6E4-10474DA93848}" destId="{39DEDC10-DFD3-44F0-8C39-32D4FE9096F3}" srcOrd="4" destOrd="0" presId="urn:microsoft.com/office/officeart/2005/8/layout/balance1"/>
    <dgm:cxn modelId="{3A5D782A-C378-4855-987B-FFC845EECED4}" type="presParOf" srcId="{E4255F95-7333-44A4-A6E4-10474DA93848}" destId="{E2EAEBB8-6B27-41EC-B8D3-D68CEFC425D7}" srcOrd="5" destOrd="0" presId="urn:microsoft.com/office/officeart/2005/8/layout/balance1"/>
    <dgm:cxn modelId="{8AD08AB0-9D89-4FBC-BCE8-EAC1E08F0DBC}" type="presParOf" srcId="{E4255F95-7333-44A4-A6E4-10474DA93848}" destId="{0CE3219A-ABC0-49EA-AD04-581A97630005}" srcOrd="6" destOrd="0" presId="urn:microsoft.com/office/officeart/2005/8/layout/balance1"/>
    <dgm:cxn modelId="{AB8C04E3-B48B-4B06-889B-ABBA83715AF1}" type="presParOf" srcId="{E4255F95-7333-44A4-A6E4-10474DA93848}" destId="{1156C3DF-5FA0-4033-BC11-9A0465E83311}" srcOrd="7" destOrd="0" presId="urn:microsoft.com/office/officeart/2005/8/layout/balance1"/>
    <dgm:cxn modelId="{E6042476-83BA-4042-92F2-EAAB8B7C4F4D}" type="presParOf" srcId="{E4255F95-7333-44A4-A6E4-10474DA93848}" destId="{093C0EFC-9695-48AE-BEB4-7D6BC875203C}" srcOrd="8" destOrd="0" presId="urn:microsoft.com/office/officeart/2005/8/layout/balance1"/>
    <dgm:cxn modelId="{26A3ECE0-214B-4080-80BC-6136CB5FA4BC}" type="presParOf" srcId="{E4255F95-7333-44A4-A6E4-10474DA93848}" destId="{FE424196-97AB-4579-B08B-0B3BFF3F49F7}" srcOrd="9" destOrd="0" presId="urn:microsoft.com/office/officeart/2005/8/layout/balance1"/>
  </dgm:cxnLst>
  <dgm:bg/>
  <dgm:whole/>
  <dgm:extLst>
    <a:ext uri="http://schemas.microsoft.com/office/drawing/2008/diagram">
      <dsp:dataModelExt xmlns:dsp="http://schemas.microsoft.com/office/drawing/2008/diagram" xmlns="" relId="rId2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8FFC4EA-22F9-404A-B2A9-EDA9B97736E3}" type="doc">
      <dgm:prSet loTypeId="urn:microsoft.com/office/officeart/2005/8/layout/venn2" loCatId="relationship" qsTypeId="urn:microsoft.com/office/officeart/2005/8/quickstyle/simple1" qsCatId="simple" csTypeId="urn:microsoft.com/office/officeart/2005/8/colors/accent1_2" csCatId="accent1" phldr="1"/>
      <dgm:spPr/>
      <dgm:t>
        <a:bodyPr/>
        <a:lstStyle/>
        <a:p>
          <a:endParaRPr lang="en-GB"/>
        </a:p>
      </dgm:t>
    </dgm:pt>
    <dgm:pt modelId="{936F20C8-A12E-4A77-AE96-EDBE61DCE019}">
      <dgm:prSet phldrT="[Text]" custT="1"/>
      <dgm:spPr>
        <a:solidFill>
          <a:schemeClr val="accent3">
            <a:lumMod val="75000"/>
          </a:schemeClr>
        </a:solidFill>
      </dgm:spPr>
      <dgm:t>
        <a:bodyPr/>
        <a:lstStyle/>
        <a:p>
          <a:pPr rtl="0"/>
          <a:r>
            <a:rPr lang="en-US" sz="900" b="1">
              <a:latin typeface="Arial" pitchFamily="34" charset="0"/>
              <a:cs typeface="Arial" pitchFamily="34" charset="0"/>
            </a:rPr>
            <a:t>Credit provided to finance other  sectors              USD 5,493 million</a:t>
          </a:r>
        </a:p>
        <a:p>
          <a:pPr rtl="1"/>
          <a:endParaRPr lang="en-GB" sz="500"/>
        </a:p>
      </dgm:t>
    </dgm:pt>
    <dgm:pt modelId="{067A67F3-B8A8-42FC-8B2C-BF3158594037}" type="parTrans" cxnId="{64C2A4A8-E3AB-41E9-A204-7204A2C1C502}">
      <dgm:prSet/>
      <dgm:spPr/>
      <dgm:t>
        <a:bodyPr/>
        <a:lstStyle/>
        <a:p>
          <a:endParaRPr lang="en-GB"/>
        </a:p>
      </dgm:t>
    </dgm:pt>
    <dgm:pt modelId="{6412C67B-290F-4311-AA72-767ECE9B07DC}" type="sibTrans" cxnId="{64C2A4A8-E3AB-41E9-A204-7204A2C1C502}">
      <dgm:prSet/>
      <dgm:spPr/>
      <dgm:t>
        <a:bodyPr/>
        <a:lstStyle/>
        <a:p>
          <a:endParaRPr lang="en-GB"/>
        </a:p>
      </dgm:t>
    </dgm:pt>
    <dgm:pt modelId="{912B5229-808A-44FE-A7A3-4017AEB19AC8}">
      <dgm:prSet phldrT="[Text]" custT="1"/>
      <dgm:spPr>
        <a:solidFill>
          <a:schemeClr val="accent3">
            <a:lumMod val="75000"/>
          </a:schemeClr>
        </a:solidFill>
      </dgm:spPr>
      <dgm:t>
        <a:bodyPr/>
        <a:lstStyle/>
        <a:p>
          <a:pPr algn="ctr" rtl="0"/>
          <a:r>
            <a:rPr lang="en-GB" sz="900" b="1">
              <a:latin typeface="Arial" pitchFamily="34" charset="0"/>
              <a:cs typeface="Arial" pitchFamily="34" charset="0"/>
            </a:rPr>
            <a:t>Credit provided to finance consumption loans                     </a:t>
          </a:r>
          <a:r>
            <a:rPr lang="en-US" sz="900" b="1">
              <a:solidFill>
                <a:schemeClr val="bg1"/>
              </a:solidFill>
              <a:latin typeface="Arial" pitchFamily="34" charset="0"/>
              <a:cs typeface="Arial" pitchFamily="34" charset="0"/>
            </a:rPr>
            <a:t>USD 1,327 million</a:t>
          </a:r>
          <a:endParaRPr lang="en-GB" sz="900" b="1">
            <a:solidFill>
              <a:schemeClr val="bg1"/>
            </a:solidFill>
            <a:latin typeface="Arial" pitchFamily="34" charset="0"/>
            <a:cs typeface="Arial" pitchFamily="34" charset="0"/>
          </a:endParaRPr>
        </a:p>
      </dgm:t>
    </dgm:pt>
    <dgm:pt modelId="{D2128F99-ED52-4F60-A909-DA194884696B}" type="parTrans" cxnId="{B1DB47EA-620C-4D25-A1EC-60E28E84BF24}">
      <dgm:prSet/>
      <dgm:spPr/>
      <dgm:t>
        <a:bodyPr/>
        <a:lstStyle/>
        <a:p>
          <a:endParaRPr lang="en-GB"/>
        </a:p>
      </dgm:t>
    </dgm:pt>
    <dgm:pt modelId="{6C554814-0D2C-48FA-9BED-D10D4AB666E7}" type="sibTrans" cxnId="{B1DB47EA-620C-4D25-A1EC-60E28E84BF24}">
      <dgm:prSet/>
      <dgm:spPr/>
      <dgm:t>
        <a:bodyPr/>
        <a:lstStyle/>
        <a:p>
          <a:endParaRPr lang="en-GB"/>
        </a:p>
      </dgm:t>
    </dgm:pt>
    <dgm:pt modelId="{36938E6C-B08D-460D-94EA-33E1DCD11AE5}">
      <dgm:prSet phldrT="[Text]" custT="1"/>
      <dgm:spPr>
        <a:solidFill>
          <a:schemeClr val="accent3">
            <a:lumMod val="75000"/>
          </a:schemeClr>
        </a:solidFill>
      </dgm:spPr>
      <dgm:t>
        <a:bodyPr/>
        <a:lstStyle/>
        <a:p>
          <a:pPr rtl="0"/>
          <a:endParaRPr lang="en-GB" sz="1000" b="1">
            <a:latin typeface="Arial" pitchFamily="34" charset="0"/>
            <a:cs typeface="Arial" pitchFamily="34" charset="0"/>
          </a:endParaRPr>
        </a:p>
        <a:p>
          <a:pPr rtl="0"/>
          <a:r>
            <a:rPr lang="en-GB" sz="900" b="1">
              <a:latin typeface="Arial" pitchFamily="34" charset="0"/>
              <a:cs typeface="Arial" pitchFamily="34" charset="0"/>
            </a:rPr>
            <a:t>Credit provided to the public sector          </a:t>
          </a:r>
          <a:r>
            <a:rPr lang="en-US" sz="900" b="1">
              <a:solidFill>
                <a:schemeClr val="bg1"/>
              </a:solidFill>
              <a:latin typeface="Arial" pitchFamily="34" charset="0"/>
              <a:cs typeface="Arial" pitchFamily="34" charset="0"/>
            </a:rPr>
            <a:t>USD 1,316 million</a:t>
          </a:r>
          <a:endParaRPr lang="en-GB" sz="900" b="1">
            <a:latin typeface="Arial" pitchFamily="34" charset="0"/>
            <a:cs typeface="Arial" pitchFamily="34" charset="0"/>
          </a:endParaRPr>
        </a:p>
        <a:p>
          <a:pPr rtl="1"/>
          <a:endParaRPr lang="en-GB" sz="1100" b="1">
            <a:latin typeface="Arial" pitchFamily="34" charset="0"/>
            <a:cs typeface="Arial" pitchFamily="34" charset="0"/>
          </a:endParaRPr>
        </a:p>
      </dgm:t>
    </dgm:pt>
    <dgm:pt modelId="{F6206434-DA97-4FB1-938A-8A75A0E3AD35}" type="parTrans" cxnId="{0FCD3C06-2D34-43E6-B963-50C2AB496B19}">
      <dgm:prSet/>
      <dgm:spPr/>
      <dgm:t>
        <a:bodyPr/>
        <a:lstStyle/>
        <a:p>
          <a:endParaRPr lang="en-GB"/>
        </a:p>
      </dgm:t>
    </dgm:pt>
    <dgm:pt modelId="{D7728FBA-D358-4F60-B05E-FAAA3DB7FEA3}" type="sibTrans" cxnId="{0FCD3C06-2D34-43E6-B963-50C2AB496B19}">
      <dgm:prSet/>
      <dgm:spPr/>
      <dgm:t>
        <a:bodyPr/>
        <a:lstStyle/>
        <a:p>
          <a:endParaRPr lang="en-GB"/>
        </a:p>
      </dgm:t>
    </dgm:pt>
    <dgm:pt modelId="{A1BF74C6-B9B6-417D-B4E4-E1AA284FE43F}">
      <dgm:prSet phldrT="[Text]" custT="1"/>
      <dgm:spPr>
        <a:solidFill>
          <a:schemeClr val="accent3">
            <a:lumMod val="75000"/>
          </a:schemeClr>
        </a:solidFill>
      </dgm:spPr>
      <dgm:t>
        <a:bodyPr/>
        <a:lstStyle/>
        <a:p>
          <a:pPr rtl="1"/>
          <a:r>
            <a:rPr lang="en-GB" sz="900" b="1">
              <a:latin typeface="Arial" pitchFamily="34" charset="0"/>
              <a:cs typeface="Arial" pitchFamily="34" charset="0"/>
            </a:rPr>
            <a:t>Credit provided to finance cars and vehicles </a:t>
          </a:r>
          <a:r>
            <a:rPr lang="en-US" sz="900" b="1">
              <a:solidFill>
                <a:schemeClr val="bg1"/>
              </a:solidFill>
              <a:latin typeface="Arial" pitchFamily="34" charset="0"/>
              <a:cs typeface="Arial" pitchFamily="34" charset="0"/>
            </a:rPr>
            <a:t>USD 302 million</a:t>
          </a:r>
          <a:r>
            <a:rPr lang="en-GB" sz="900" b="1">
              <a:latin typeface="Arial" pitchFamily="34" charset="0"/>
              <a:cs typeface="Arial" pitchFamily="34" charset="0"/>
            </a:rPr>
            <a:t> </a:t>
          </a:r>
        </a:p>
      </dgm:t>
    </dgm:pt>
    <dgm:pt modelId="{D98A1C20-DAD6-4F7A-9236-11678F98B754}" type="parTrans" cxnId="{3788ACB5-7EA5-42D1-B117-FA76E6C5655A}">
      <dgm:prSet/>
      <dgm:spPr/>
      <dgm:t>
        <a:bodyPr/>
        <a:lstStyle/>
        <a:p>
          <a:endParaRPr lang="en-GB"/>
        </a:p>
      </dgm:t>
    </dgm:pt>
    <dgm:pt modelId="{4FA84DDD-1C12-4F98-9CB1-343DD0906EEB}" type="sibTrans" cxnId="{3788ACB5-7EA5-42D1-B117-FA76E6C5655A}">
      <dgm:prSet/>
      <dgm:spPr/>
      <dgm:t>
        <a:bodyPr/>
        <a:lstStyle/>
        <a:p>
          <a:endParaRPr lang="en-GB"/>
        </a:p>
      </dgm:t>
    </dgm:pt>
    <dgm:pt modelId="{F70ACD69-9BCC-4493-BB16-92D4CAA332A2}" type="pres">
      <dgm:prSet presAssocID="{08FFC4EA-22F9-404A-B2A9-EDA9B97736E3}" presName="Name0" presStyleCnt="0">
        <dgm:presLayoutVars>
          <dgm:chMax val="7"/>
          <dgm:resizeHandles val="exact"/>
        </dgm:presLayoutVars>
      </dgm:prSet>
      <dgm:spPr/>
      <dgm:t>
        <a:bodyPr/>
        <a:lstStyle/>
        <a:p>
          <a:endParaRPr lang="en-GB"/>
        </a:p>
      </dgm:t>
    </dgm:pt>
    <dgm:pt modelId="{BDE6C2F2-1155-4D69-AE7E-D90202F7E724}" type="pres">
      <dgm:prSet presAssocID="{08FFC4EA-22F9-404A-B2A9-EDA9B97736E3}" presName="comp1" presStyleCnt="0"/>
      <dgm:spPr/>
    </dgm:pt>
    <dgm:pt modelId="{6E13B3DF-00A1-4ED6-8015-300713C650F4}" type="pres">
      <dgm:prSet presAssocID="{08FFC4EA-22F9-404A-B2A9-EDA9B97736E3}" presName="circle1" presStyleLbl="node1" presStyleIdx="0" presStyleCnt="4" custScaleX="109875"/>
      <dgm:spPr/>
      <dgm:t>
        <a:bodyPr/>
        <a:lstStyle/>
        <a:p>
          <a:endParaRPr lang="en-GB"/>
        </a:p>
      </dgm:t>
    </dgm:pt>
    <dgm:pt modelId="{012DA830-1CBB-4D2C-B8C1-4A591A23DF6B}" type="pres">
      <dgm:prSet presAssocID="{08FFC4EA-22F9-404A-B2A9-EDA9B97736E3}" presName="c1text" presStyleLbl="node1" presStyleIdx="0" presStyleCnt="4">
        <dgm:presLayoutVars>
          <dgm:bulletEnabled val="1"/>
        </dgm:presLayoutVars>
      </dgm:prSet>
      <dgm:spPr/>
      <dgm:t>
        <a:bodyPr/>
        <a:lstStyle/>
        <a:p>
          <a:endParaRPr lang="en-GB"/>
        </a:p>
      </dgm:t>
    </dgm:pt>
    <dgm:pt modelId="{E818E5AB-DF73-4EF6-B683-CB13003EAE0B}" type="pres">
      <dgm:prSet presAssocID="{08FFC4EA-22F9-404A-B2A9-EDA9B97736E3}" presName="comp2" presStyleCnt="0"/>
      <dgm:spPr/>
    </dgm:pt>
    <dgm:pt modelId="{4787E354-CC56-40AC-AF4D-427BBD647D0D}" type="pres">
      <dgm:prSet presAssocID="{08FFC4EA-22F9-404A-B2A9-EDA9B97736E3}" presName="circle2" presStyleLbl="node1" presStyleIdx="1" presStyleCnt="4" custScaleX="124066"/>
      <dgm:spPr/>
      <dgm:t>
        <a:bodyPr/>
        <a:lstStyle/>
        <a:p>
          <a:endParaRPr lang="en-GB"/>
        </a:p>
      </dgm:t>
    </dgm:pt>
    <dgm:pt modelId="{57DE6178-6392-4A79-B319-44807032E872}" type="pres">
      <dgm:prSet presAssocID="{08FFC4EA-22F9-404A-B2A9-EDA9B97736E3}" presName="c2text" presStyleLbl="node1" presStyleIdx="1" presStyleCnt="4">
        <dgm:presLayoutVars>
          <dgm:bulletEnabled val="1"/>
        </dgm:presLayoutVars>
      </dgm:prSet>
      <dgm:spPr/>
      <dgm:t>
        <a:bodyPr/>
        <a:lstStyle/>
        <a:p>
          <a:endParaRPr lang="en-GB"/>
        </a:p>
      </dgm:t>
    </dgm:pt>
    <dgm:pt modelId="{E8665FE6-02FF-4388-8627-1FDEF30C10A0}" type="pres">
      <dgm:prSet presAssocID="{08FFC4EA-22F9-404A-B2A9-EDA9B97736E3}" presName="comp3" presStyleCnt="0"/>
      <dgm:spPr/>
    </dgm:pt>
    <dgm:pt modelId="{EF5888B1-4BB5-495C-80F9-245D1BD004C0}" type="pres">
      <dgm:prSet presAssocID="{08FFC4EA-22F9-404A-B2A9-EDA9B97736E3}" presName="circle3" presStyleLbl="node1" presStyleIdx="2" presStyleCnt="4" custScaleX="128907" custScaleY="90595"/>
      <dgm:spPr/>
      <dgm:t>
        <a:bodyPr/>
        <a:lstStyle/>
        <a:p>
          <a:endParaRPr lang="en-GB"/>
        </a:p>
      </dgm:t>
    </dgm:pt>
    <dgm:pt modelId="{B668F64C-257C-4BA3-9495-B98E4FEA4BEA}" type="pres">
      <dgm:prSet presAssocID="{08FFC4EA-22F9-404A-B2A9-EDA9B97736E3}" presName="c3text" presStyleLbl="node1" presStyleIdx="2" presStyleCnt="4">
        <dgm:presLayoutVars>
          <dgm:bulletEnabled val="1"/>
        </dgm:presLayoutVars>
      </dgm:prSet>
      <dgm:spPr/>
      <dgm:t>
        <a:bodyPr/>
        <a:lstStyle/>
        <a:p>
          <a:endParaRPr lang="en-GB"/>
        </a:p>
      </dgm:t>
    </dgm:pt>
    <dgm:pt modelId="{172DD7D4-AD67-448A-9B51-6511D4C63255}" type="pres">
      <dgm:prSet presAssocID="{08FFC4EA-22F9-404A-B2A9-EDA9B97736E3}" presName="comp4" presStyleCnt="0"/>
      <dgm:spPr/>
    </dgm:pt>
    <dgm:pt modelId="{B4DE6D81-32C6-441D-B9E0-07A556C2A389}" type="pres">
      <dgm:prSet presAssocID="{08FFC4EA-22F9-404A-B2A9-EDA9B97736E3}" presName="circle4" presStyleLbl="node1" presStyleIdx="3" presStyleCnt="4" custScaleY="86416"/>
      <dgm:spPr/>
      <dgm:t>
        <a:bodyPr/>
        <a:lstStyle/>
        <a:p>
          <a:endParaRPr lang="en-GB"/>
        </a:p>
      </dgm:t>
    </dgm:pt>
    <dgm:pt modelId="{37E7863F-3BB4-483F-A761-BAAC8DCB7EDE}" type="pres">
      <dgm:prSet presAssocID="{08FFC4EA-22F9-404A-B2A9-EDA9B97736E3}" presName="c4text" presStyleLbl="node1" presStyleIdx="3" presStyleCnt="4">
        <dgm:presLayoutVars>
          <dgm:bulletEnabled val="1"/>
        </dgm:presLayoutVars>
      </dgm:prSet>
      <dgm:spPr/>
      <dgm:t>
        <a:bodyPr/>
        <a:lstStyle/>
        <a:p>
          <a:endParaRPr lang="en-GB"/>
        </a:p>
      </dgm:t>
    </dgm:pt>
  </dgm:ptLst>
  <dgm:cxnLst>
    <dgm:cxn modelId="{64C2A4A8-E3AB-41E9-A204-7204A2C1C502}" srcId="{08FFC4EA-22F9-404A-B2A9-EDA9B97736E3}" destId="{936F20C8-A12E-4A77-AE96-EDBE61DCE019}" srcOrd="0" destOrd="0" parTransId="{067A67F3-B8A8-42FC-8B2C-BF3158594037}" sibTransId="{6412C67B-290F-4311-AA72-767ECE9B07DC}"/>
    <dgm:cxn modelId="{3788ACB5-7EA5-42D1-B117-FA76E6C5655A}" srcId="{08FFC4EA-22F9-404A-B2A9-EDA9B97736E3}" destId="{A1BF74C6-B9B6-417D-B4E4-E1AA284FE43F}" srcOrd="3" destOrd="0" parTransId="{D98A1C20-DAD6-4F7A-9236-11678F98B754}" sibTransId="{4FA84DDD-1C12-4F98-9CB1-343DD0906EEB}"/>
    <dgm:cxn modelId="{D31194DA-2699-497C-BBCF-E759650F53B2}" type="presOf" srcId="{A1BF74C6-B9B6-417D-B4E4-E1AA284FE43F}" destId="{37E7863F-3BB4-483F-A761-BAAC8DCB7EDE}" srcOrd="1" destOrd="0" presId="urn:microsoft.com/office/officeart/2005/8/layout/venn2"/>
    <dgm:cxn modelId="{598A304F-2345-4CEB-ABE3-B1FBB2750EE8}" type="presOf" srcId="{36938E6C-B08D-460D-94EA-33E1DCD11AE5}" destId="{EF5888B1-4BB5-495C-80F9-245D1BD004C0}" srcOrd="0" destOrd="0" presId="urn:microsoft.com/office/officeart/2005/8/layout/venn2"/>
    <dgm:cxn modelId="{2BD4D500-60E1-4135-843F-B021B6E759DE}" type="presOf" srcId="{936F20C8-A12E-4A77-AE96-EDBE61DCE019}" destId="{6E13B3DF-00A1-4ED6-8015-300713C650F4}" srcOrd="0" destOrd="0" presId="urn:microsoft.com/office/officeart/2005/8/layout/venn2"/>
    <dgm:cxn modelId="{459714B4-9802-4CE0-BCA9-6F0ED2866F10}" type="presOf" srcId="{912B5229-808A-44FE-A7A3-4017AEB19AC8}" destId="{57DE6178-6392-4A79-B319-44807032E872}" srcOrd="1" destOrd="0" presId="urn:microsoft.com/office/officeart/2005/8/layout/venn2"/>
    <dgm:cxn modelId="{CA1CEC56-BFF0-4B68-940C-F85E2028061B}" type="presOf" srcId="{A1BF74C6-B9B6-417D-B4E4-E1AA284FE43F}" destId="{B4DE6D81-32C6-441D-B9E0-07A556C2A389}" srcOrd="0" destOrd="0" presId="urn:microsoft.com/office/officeart/2005/8/layout/venn2"/>
    <dgm:cxn modelId="{8519E7C5-FE73-483D-ADE7-FA868491A25E}" type="presOf" srcId="{08FFC4EA-22F9-404A-B2A9-EDA9B97736E3}" destId="{F70ACD69-9BCC-4493-BB16-92D4CAA332A2}" srcOrd="0" destOrd="0" presId="urn:microsoft.com/office/officeart/2005/8/layout/venn2"/>
    <dgm:cxn modelId="{D524E066-6726-4197-B774-E8240A77494D}" type="presOf" srcId="{936F20C8-A12E-4A77-AE96-EDBE61DCE019}" destId="{012DA830-1CBB-4D2C-B8C1-4A591A23DF6B}" srcOrd="1" destOrd="0" presId="urn:microsoft.com/office/officeart/2005/8/layout/venn2"/>
    <dgm:cxn modelId="{B1DB47EA-620C-4D25-A1EC-60E28E84BF24}" srcId="{08FFC4EA-22F9-404A-B2A9-EDA9B97736E3}" destId="{912B5229-808A-44FE-A7A3-4017AEB19AC8}" srcOrd="1" destOrd="0" parTransId="{D2128F99-ED52-4F60-A909-DA194884696B}" sibTransId="{6C554814-0D2C-48FA-9BED-D10D4AB666E7}"/>
    <dgm:cxn modelId="{0FCD3C06-2D34-43E6-B963-50C2AB496B19}" srcId="{08FFC4EA-22F9-404A-B2A9-EDA9B97736E3}" destId="{36938E6C-B08D-460D-94EA-33E1DCD11AE5}" srcOrd="2" destOrd="0" parTransId="{F6206434-DA97-4FB1-938A-8A75A0E3AD35}" sibTransId="{D7728FBA-D358-4F60-B05E-FAAA3DB7FEA3}"/>
    <dgm:cxn modelId="{1171A043-70C4-4607-BD7A-4DD00BA9D94E}" type="presOf" srcId="{912B5229-808A-44FE-A7A3-4017AEB19AC8}" destId="{4787E354-CC56-40AC-AF4D-427BBD647D0D}" srcOrd="0" destOrd="0" presId="urn:microsoft.com/office/officeart/2005/8/layout/venn2"/>
    <dgm:cxn modelId="{98AD8259-573B-4FD7-A3B3-9603177731B6}" type="presOf" srcId="{36938E6C-B08D-460D-94EA-33E1DCD11AE5}" destId="{B668F64C-257C-4BA3-9495-B98E4FEA4BEA}" srcOrd="1" destOrd="0" presId="urn:microsoft.com/office/officeart/2005/8/layout/venn2"/>
    <dgm:cxn modelId="{386C25F4-299F-4E96-93B4-B9DABC049DAF}" type="presParOf" srcId="{F70ACD69-9BCC-4493-BB16-92D4CAA332A2}" destId="{BDE6C2F2-1155-4D69-AE7E-D90202F7E724}" srcOrd="0" destOrd="0" presId="urn:microsoft.com/office/officeart/2005/8/layout/venn2"/>
    <dgm:cxn modelId="{94F4918B-B5E2-4349-A5E6-9747A0977E86}" type="presParOf" srcId="{BDE6C2F2-1155-4D69-AE7E-D90202F7E724}" destId="{6E13B3DF-00A1-4ED6-8015-300713C650F4}" srcOrd="0" destOrd="0" presId="urn:microsoft.com/office/officeart/2005/8/layout/venn2"/>
    <dgm:cxn modelId="{B0BF4192-664E-4293-AB05-9CF1D79301DA}" type="presParOf" srcId="{BDE6C2F2-1155-4D69-AE7E-D90202F7E724}" destId="{012DA830-1CBB-4D2C-B8C1-4A591A23DF6B}" srcOrd="1" destOrd="0" presId="urn:microsoft.com/office/officeart/2005/8/layout/venn2"/>
    <dgm:cxn modelId="{708DCEDE-2978-4C9E-B691-C318B90A6198}" type="presParOf" srcId="{F70ACD69-9BCC-4493-BB16-92D4CAA332A2}" destId="{E818E5AB-DF73-4EF6-B683-CB13003EAE0B}" srcOrd="1" destOrd="0" presId="urn:microsoft.com/office/officeart/2005/8/layout/venn2"/>
    <dgm:cxn modelId="{5C9A1BB3-0BBC-4E31-A46C-B89A6DF7E052}" type="presParOf" srcId="{E818E5AB-DF73-4EF6-B683-CB13003EAE0B}" destId="{4787E354-CC56-40AC-AF4D-427BBD647D0D}" srcOrd="0" destOrd="0" presId="urn:microsoft.com/office/officeart/2005/8/layout/venn2"/>
    <dgm:cxn modelId="{C7D0543C-E2D1-491E-8857-2418A6BB3F25}" type="presParOf" srcId="{E818E5AB-DF73-4EF6-B683-CB13003EAE0B}" destId="{57DE6178-6392-4A79-B319-44807032E872}" srcOrd="1" destOrd="0" presId="urn:microsoft.com/office/officeart/2005/8/layout/venn2"/>
    <dgm:cxn modelId="{A8C56AB2-9F7B-4FE1-B37A-C2B36FBC36BA}" type="presParOf" srcId="{F70ACD69-9BCC-4493-BB16-92D4CAA332A2}" destId="{E8665FE6-02FF-4388-8627-1FDEF30C10A0}" srcOrd="2" destOrd="0" presId="urn:microsoft.com/office/officeart/2005/8/layout/venn2"/>
    <dgm:cxn modelId="{D59E637A-4AA6-4CD9-8A71-E7FB386542E5}" type="presParOf" srcId="{E8665FE6-02FF-4388-8627-1FDEF30C10A0}" destId="{EF5888B1-4BB5-495C-80F9-245D1BD004C0}" srcOrd="0" destOrd="0" presId="urn:microsoft.com/office/officeart/2005/8/layout/venn2"/>
    <dgm:cxn modelId="{5B1BE9EB-F686-4FA2-A57E-9CE2375B163A}" type="presParOf" srcId="{E8665FE6-02FF-4388-8627-1FDEF30C10A0}" destId="{B668F64C-257C-4BA3-9495-B98E4FEA4BEA}" srcOrd="1" destOrd="0" presId="urn:microsoft.com/office/officeart/2005/8/layout/venn2"/>
    <dgm:cxn modelId="{4F2564C2-A115-44C7-A8F0-7A667FEA48EE}" type="presParOf" srcId="{F70ACD69-9BCC-4493-BB16-92D4CAA332A2}" destId="{172DD7D4-AD67-448A-9B51-6511D4C63255}" srcOrd="3" destOrd="0" presId="urn:microsoft.com/office/officeart/2005/8/layout/venn2"/>
    <dgm:cxn modelId="{30A6AD38-3D99-4837-B98A-207BB13A01CF}" type="presParOf" srcId="{172DD7D4-AD67-448A-9B51-6511D4C63255}" destId="{B4DE6D81-32C6-441D-B9E0-07A556C2A389}" srcOrd="0" destOrd="0" presId="urn:microsoft.com/office/officeart/2005/8/layout/venn2"/>
    <dgm:cxn modelId="{C2BAF0EF-C29E-42E2-B7CC-4AD1F640BB4A}" type="presParOf" srcId="{172DD7D4-AD67-448A-9B51-6511D4C63255}" destId="{37E7863F-3BB4-483F-A761-BAAC8DCB7EDE}" srcOrd="1" destOrd="0" presId="urn:microsoft.com/office/officeart/2005/8/layout/venn2"/>
  </dgm:cxnLst>
  <dgm:bg/>
  <dgm:whole/>
  <dgm:extLst>
    <a:ext uri="http://schemas.microsoft.com/office/drawing/2008/diagram">
      <dsp:dataModelExt xmlns:dsp="http://schemas.microsoft.com/office/drawing/2008/diagram" xmlns="" relId="rId4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77D9374-76E8-4A6C-A747-555582AC8E7A}" type="doc">
      <dgm:prSet loTypeId="urn:microsoft.com/office/officeart/2005/8/layout/arrow2" loCatId="process" qsTypeId="urn:microsoft.com/office/officeart/2005/8/quickstyle/simple1" qsCatId="simple" csTypeId="urn:microsoft.com/office/officeart/2005/8/colors/accent1_2" csCatId="accent1" phldr="1"/>
      <dgm:spPr/>
      <dgm:t>
        <a:bodyPr/>
        <a:lstStyle/>
        <a:p>
          <a:endParaRPr lang="en-GB"/>
        </a:p>
      </dgm:t>
    </dgm:pt>
    <dgm:pt modelId="{6512648C-2F4A-4EA8-B9AA-214E49CD60C7}">
      <dgm:prSet phldrT="[Text]" custT="1"/>
      <dgm:spPr/>
      <dgm:t>
        <a:bodyPr/>
        <a:lstStyle/>
        <a:p>
          <a:pPr algn="ctr" rtl="0"/>
          <a:r>
            <a:rPr lang="en-GB" sz="900" b="1">
              <a:latin typeface="Arial" pitchFamily="34" charset="0"/>
              <a:cs typeface="Arial" pitchFamily="34" charset="0"/>
            </a:rPr>
            <a:t>Deposits 2013</a:t>
          </a:r>
        </a:p>
        <a:p>
          <a:pPr algn="ctr" rtl="0"/>
          <a:r>
            <a:rPr lang="en-GB" sz="900" b="1">
              <a:latin typeface="Arial" pitchFamily="34" charset="0"/>
              <a:cs typeface="Arial" pitchFamily="34" charset="0"/>
            </a:rPr>
            <a:t> USD 8,304 million </a:t>
          </a:r>
          <a:endParaRPr lang="en-GB" sz="900" b="1">
            <a:solidFill>
              <a:schemeClr val="tx2">
                <a:lumMod val="60000"/>
                <a:lumOff val="40000"/>
              </a:schemeClr>
            </a:solidFill>
            <a:latin typeface="Arial" pitchFamily="34" charset="0"/>
            <a:cs typeface="Arial" pitchFamily="34" charset="0"/>
          </a:endParaRPr>
        </a:p>
      </dgm:t>
    </dgm:pt>
    <dgm:pt modelId="{188C76F1-00D5-4D06-81C8-6CE9178CC605}" type="parTrans" cxnId="{2545C3A8-21D7-44F0-9C66-DB96922F11BE}">
      <dgm:prSet/>
      <dgm:spPr/>
      <dgm:t>
        <a:bodyPr/>
        <a:lstStyle/>
        <a:p>
          <a:endParaRPr lang="en-GB"/>
        </a:p>
      </dgm:t>
    </dgm:pt>
    <dgm:pt modelId="{38EA781A-8A3D-44E5-BA15-CEAA8A2369A2}" type="sibTrans" cxnId="{2545C3A8-21D7-44F0-9C66-DB96922F11BE}">
      <dgm:prSet/>
      <dgm:spPr/>
      <dgm:t>
        <a:bodyPr/>
        <a:lstStyle/>
        <a:p>
          <a:endParaRPr lang="en-GB"/>
        </a:p>
      </dgm:t>
    </dgm:pt>
    <dgm:pt modelId="{65D7A1B1-70DE-4904-A03F-709567B60E8F}">
      <dgm:prSet phldrT="[Text]" custT="1"/>
      <dgm:spPr/>
      <dgm:t>
        <a:bodyPr/>
        <a:lstStyle/>
        <a:p>
          <a:pPr algn="ctr" rtl="0"/>
          <a:r>
            <a:rPr lang="en-GB" sz="900" b="1">
              <a:latin typeface="Arial" pitchFamily="34" charset="0"/>
              <a:cs typeface="Arial" pitchFamily="34" charset="0"/>
            </a:rPr>
            <a:t>Deposits 2015</a:t>
          </a:r>
        </a:p>
        <a:p>
          <a:pPr algn="ctr" rtl="0"/>
          <a:r>
            <a:rPr lang="en-GB" sz="900" b="1">
              <a:latin typeface="Arial" pitchFamily="34" charset="0"/>
              <a:cs typeface="Arial" pitchFamily="34" charset="0"/>
            </a:rPr>
            <a:t> USD 9,654 million </a:t>
          </a:r>
          <a:endParaRPr lang="en-GB" sz="900" b="1">
            <a:solidFill>
              <a:schemeClr val="tx2">
                <a:lumMod val="60000"/>
                <a:lumOff val="40000"/>
              </a:schemeClr>
            </a:solidFill>
            <a:latin typeface="Arial" pitchFamily="34" charset="0"/>
            <a:cs typeface="Arial" pitchFamily="34" charset="0"/>
          </a:endParaRPr>
        </a:p>
      </dgm:t>
    </dgm:pt>
    <dgm:pt modelId="{B8975EA1-8B77-4766-B861-E749BDF13D29}" type="parTrans" cxnId="{9ACB0DEC-4133-4911-9C9E-413E57D3EDCD}">
      <dgm:prSet/>
      <dgm:spPr/>
      <dgm:t>
        <a:bodyPr/>
        <a:lstStyle/>
        <a:p>
          <a:endParaRPr lang="en-GB"/>
        </a:p>
      </dgm:t>
    </dgm:pt>
    <dgm:pt modelId="{E1405281-4638-406F-88D1-5F6F211230BD}" type="sibTrans" cxnId="{9ACB0DEC-4133-4911-9C9E-413E57D3EDCD}">
      <dgm:prSet/>
      <dgm:spPr/>
      <dgm:t>
        <a:bodyPr/>
        <a:lstStyle/>
        <a:p>
          <a:endParaRPr lang="en-GB"/>
        </a:p>
      </dgm:t>
    </dgm:pt>
    <dgm:pt modelId="{72B6740D-9266-49D1-9673-D73E560DCAAD}">
      <dgm:prSet phldrT="[Text]" custT="1"/>
      <dgm:spPr/>
      <dgm:t>
        <a:bodyPr/>
        <a:lstStyle/>
        <a:p>
          <a:pPr algn="ctr" rtl="0"/>
          <a:r>
            <a:rPr lang="en-GB" sz="900" b="1">
              <a:latin typeface="Arial" pitchFamily="34" charset="0"/>
              <a:cs typeface="Arial" pitchFamily="34" charset="0"/>
            </a:rPr>
            <a:t>Deposits 2017</a:t>
          </a:r>
        </a:p>
        <a:p>
          <a:pPr algn="ctr" rtl="0"/>
          <a:r>
            <a:rPr lang="en-GB" sz="900" b="1">
              <a:latin typeface="Arial" pitchFamily="34" charset="0"/>
              <a:cs typeface="Arial" pitchFamily="34" charset="0"/>
            </a:rPr>
            <a:t>USD 11,983 million </a:t>
          </a:r>
          <a:endParaRPr lang="en-GB" sz="900" b="1">
            <a:solidFill>
              <a:schemeClr val="tx2">
                <a:lumMod val="60000"/>
                <a:lumOff val="40000"/>
              </a:schemeClr>
            </a:solidFill>
            <a:latin typeface="Arial" pitchFamily="34" charset="0"/>
            <a:cs typeface="Arial" pitchFamily="34" charset="0"/>
          </a:endParaRPr>
        </a:p>
      </dgm:t>
    </dgm:pt>
    <dgm:pt modelId="{DD3814A1-079C-46DE-97E7-A37EF7D245E7}" type="parTrans" cxnId="{17D969A6-18B0-4CD9-9BDF-236FB5324C22}">
      <dgm:prSet/>
      <dgm:spPr/>
      <dgm:t>
        <a:bodyPr/>
        <a:lstStyle/>
        <a:p>
          <a:endParaRPr lang="en-GB"/>
        </a:p>
      </dgm:t>
    </dgm:pt>
    <dgm:pt modelId="{39AFDBA1-49AE-4D7E-ACE7-FB384D8B5BEC}" type="sibTrans" cxnId="{17D969A6-18B0-4CD9-9BDF-236FB5324C22}">
      <dgm:prSet/>
      <dgm:spPr/>
      <dgm:t>
        <a:bodyPr/>
        <a:lstStyle/>
        <a:p>
          <a:endParaRPr lang="en-GB"/>
        </a:p>
      </dgm:t>
    </dgm:pt>
    <dgm:pt modelId="{1F2A1B54-A556-4C55-BED6-E43D33C24D5C}">
      <dgm:prSet phldrT="[Text]" custT="1"/>
      <dgm:spPr/>
      <dgm:t>
        <a:bodyPr/>
        <a:lstStyle/>
        <a:p>
          <a:pPr algn="ctr" rtl="0"/>
          <a:r>
            <a:rPr lang="en-GB" sz="900" b="1">
              <a:latin typeface="Arial" pitchFamily="34" charset="0"/>
              <a:cs typeface="Arial" pitchFamily="34" charset="0"/>
            </a:rPr>
            <a:t>Deposits 2018</a:t>
          </a:r>
        </a:p>
        <a:p>
          <a:pPr algn="ctr" rtl="0"/>
          <a:r>
            <a:rPr lang="en-GB" sz="900" b="1">
              <a:latin typeface="Arial" pitchFamily="34" charset="0"/>
              <a:cs typeface="Arial" pitchFamily="34" charset="0"/>
            </a:rPr>
            <a:t>USD 12,227 million </a:t>
          </a:r>
          <a:endParaRPr lang="en-GB" sz="900" b="1">
            <a:solidFill>
              <a:schemeClr val="tx2">
                <a:lumMod val="60000"/>
                <a:lumOff val="40000"/>
              </a:schemeClr>
            </a:solidFill>
            <a:latin typeface="Arial" pitchFamily="34" charset="0"/>
            <a:cs typeface="Arial" pitchFamily="34" charset="0"/>
          </a:endParaRPr>
        </a:p>
      </dgm:t>
    </dgm:pt>
    <dgm:pt modelId="{F89099C3-2749-4D36-B0D9-63774B2C2C1C}" type="parTrans" cxnId="{1539A439-D410-4BBE-AD8D-ECA9CD11315E}">
      <dgm:prSet/>
      <dgm:spPr/>
      <dgm:t>
        <a:bodyPr/>
        <a:lstStyle/>
        <a:p>
          <a:endParaRPr lang="en-GB"/>
        </a:p>
      </dgm:t>
    </dgm:pt>
    <dgm:pt modelId="{9410FC97-B7FC-4EA7-92A9-2EC2E021A3E1}" type="sibTrans" cxnId="{1539A439-D410-4BBE-AD8D-ECA9CD11315E}">
      <dgm:prSet/>
      <dgm:spPr/>
      <dgm:t>
        <a:bodyPr/>
        <a:lstStyle/>
        <a:p>
          <a:endParaRPr lang="en-GB"/>
        </a:p>
      </dgm:t>
    </dgm:pt>
    <dgm:pt modelId="{CC43592A-B3BE-4B86-ADAE-229D2B0CFF65}" type="pres">
      <dgm:prSet presAssocID="{F77D9374-76E8-4A6C-A747-555582AC8E7A}" presName="arrowDiagram" presStyleCnt="0">
        <dgm:presLayoutVars>
          <dgm:chMax val="5"/>
          <dgm:dir/>
          <dgm:resizeHandles val="exact"/>
        </dgm:presLayoutVars>
      </dgm:prSet>
      <dgm:spPr/>
      <dgm:t>
        <a:bodyPr/>
        <a:lstStyle/>
        <a:p>
          <a:endParaRPr lang="en-GB"/>
        </a:p>
      </dgm:t>
    </dgm:pt>
    <dgm:pt modelId="{3AE5B439-E3FD-46AB-A6BB-CD04C15F67CA}" type="pres">
      <dgm:prSet presAssocID="{F77D9374-76E8-4A6C-A747-555582AC8E7A}" presName="arrow" presStyleLbl="bgShp" presStyleIdx="0" presStyleCnt="1" custLinFactNeighborX="694"/>
      <dgm:spPr/>
    </dgm:pt>
    <dgm:pt modelId="{2C761EEE-BE2C-4855-B72C-A89EF7DE24A9}" type="pres">
      <dgm:prSet presAssocID="{F77D9374-76E8-4A6C-A747-555582AC8E7A}" presName="arrowDiagram4" presStyleCnt="0"/>
      <dgm:spPr/>
    </dgm:pt>
    <dgm:pt modelId="{23170D65-8124-4B4E-BB79-CB161D9AF406}" type="pres">
      <dgm:prSet presAssocID="{6512648C-2F4A-4EA8-B9AA-214E49CD60C7}" presName="bullet4a" presStyleLbl="node1" presStyleIdx="0" presStyleCnt="4"/>
      <dgm:spPr/>
    </dgm:pt>
    <dgm:pt modelId="{27E15A30-E890-4416-9D3A-77AE7E95A982}" type="pres">
      <dgm:prSet presAssocID="{6512648C-2F4A-4EA8-B9AA-214E49CD60C7}" presName="textBox4a" presStyleLbl="revTx" presStyleIdx="0" presStyleCnt="4" custScaleX="206367" custScaleY="61484" custLinFactNeighborX="11485" custLinFactNeighborY="19989">
        <dgm:presLayoutVars>
          <dgm:bulletEnabled val="1"/>
        </dgm:presLayoutVars>
      </dgm:prSet>
      <dgm:spPr/>
      <dgm:t>
        <a:bodyPr/>
        <a:lstStyle/>
        <a:p>
          <a:endParaRPr lang="en-GB"/>
        </a:p>
      </dgm:t>
    </dgm:pt>
    <dgm:pt modelId="{8D055E41-244A-4E33-9E59-043455ECBD0D}" type="pres">
      <dgm:prSet presAssocID="{65D7A1B1-70DE-4904-A03F-709567B60E8F}" presName="bullet4b" presStyleLbl="node1" presStyleIdx="1" presStyleCnt="4"/>
      <dgm:spPr/>
    </dgm:pt>
    <dgm:pt modelId="{FF799365-858A-4981-8493-28E51A28985C}" type="pres">
      <dgm:prSet presAssocID="{65D7A1B1-70DE-4904-A03F-709567B60E8F}" presName="textBox4b" presStyleLbl="revTx" presStyleIdx="1" presStyleCnt="4" custScaleX="179993" custScaleY="33747" custLinFactNeighborX="-11549" custLinFactNeighborY="-10172">
        <dgm:presLayoutVars>
          <dgm:bulletEnabled val="1"/>
        </dgm:presLayoutVars>
      </dgm:prSet>
      <dgm:spPr/>
      <dgm:t>
        <a:bodyPr/>
        <a:lstStyle/>
        <a:p>
          <a:endParaRPr lang="en-GB"/>
        </a:p>
      </dgm:t>
    </dgm:pt>
    <dgm:pt modelId="{B066D2E6-6EE1-40DF-A7B8-4670429C488E}" type="pres">
      <dgm:prSet presAssocID="{72B6740D-9266-49D1-9673-D73E560DCAAD}" presName="bullet4c" presStyleLbl="node1" presStyleIdx="2" presStyleCnt="4"/>
      <dgm:spPr/>
    </dgm:pt>
    <dgm:pt modelId="{24D958E3-E8C9-4A9D-85AE-1D64558ED7B3}" type="pres">
      <dgm:prSet presAssocID="{72B6740D-9266-49D1-9673-D73E560DCAAD}" presName="textBox4c" presStyleLbl="revTx" presStyleIdx="2" presStyleCnt="4" custScaleX="190350" custScaleY="25387" custLinFactNeighborX="2066" custLinFactNeighborY="-23824">
        <dgm:presLayoutVars>
          <dgm:bulletEnabled val="1"/>
        </dgm:presLayoutVars>
      </dgm:prSet>
      <dgm:spPr/>
      <dgm:t>
        <a:bodyPr/>
        <a:lstStyle/>
        <a:p>
          <a:endParaRPr lang="en-GB"/>
        </a:p>
      </dgm:t>
    </dgm:pt>
    <dgm:pt modelId="{9F4A49FF-D6FD-40F8-A929-6B2D2146495A}" type="pres">
      <dgm:prSet presAssocID="{1F2A1B54-A556-4C55-BED6-E43D33C24D5C}" presName="bullet4d" presStyleLbl="node1" presStyleIdx="3" presStyleCnt="4"/>
      <dgm:spPr/>
    </dgm:pt>
    <dgm:pt modelId="{67C44B56-D55A-4CAC-A2E7-81DA19F5FBD7}" type="pres">
      <dgm:prSet presAssocID="{1F2A1B54-A556-4C55-BED6-E43D33C24D5C}" presName="textBox4d" presStyleLbl="revTx" presStyleIdx="3" presStyleCnt="4" custScaleX="179529" custScaleY="20189" custLinFactNeighborX="96419" custLinFactNeighborY="-30402">
        <dgm:presLayoutVars>
          <dgm:bulletEnabled val="1"/>
        </dgm:presLayoutVars>
      </dgm:prSet>
      <dgm:spPr/>
      <dgm:t>
        <a:bodyPr/>
        <a:lstStyle/>
        <a:p>
          <a:endParaRPr lang="en-GB"/>
        </a:p>
      </dgm:t>
    </dgm:pt>
  </dgm:ptLst>
  <dgm:cxnLst>
    <dgm:cxn modelId="{9ACB0DEC-4133-4911-9C9E-413E57D3EDCD}" srcId="{F77D9374-76E8-4A6C-A747-555582AC8E7A}" destId="{65D7A1B1-70DE-4904-A03F-709567B60E8F}" srcOrd="1" destOrd="0" parTransId="{B8975EA1-8B77-4766-B861-E749BDF13D29}" sibTransId="{E1405281-4638-406F-88D1-5F6F211230BD}"/>
    <dgm:cxn modelId="{2545C3A8-21D7-44F0-9C66-DB96922F11BE}" srcId="{F77D9374-76E8-4A6C-A747-555582AC8E7A}" destId="{6512648C-2F4A-4EA8-B9AA-214E49CD60C7}" srcOrd="0" destOrd="0" parTransId="{188C76F1-00D5-4D06-81C8-6CE9178CC605}" sibTransId="{38EA781A-8A3D-44E5-BA15-CEAA8A2369A2}"/>
    <dgm:cxn modelId="{DE06FC22-A48E-4997-A1DD-42F7F510B959}" type="presOf" srcId="{6512648C-2F4A-4EA8-B9AA-214E49CD60C7}" destId="{27E15A30-E890-4416-9D3A-77AE7E95A982}" srcOrd="0" destOrd="0" presId="urn:microsoft.com/office/officeart/2005/8/layout/arrow2"/>
    <dgm:cxn modelId="{B9DD6F36-06B9-4253-9962-BC9A3C544A12}" type="presOf" srcId="{65D7A1B1-70DE-4904-A03F-709567B60E8F}" destId="{FF799365-858A-4981-8493-28E51A28985C}" srcOrd="0" destOrd="0" presId="urn:microsoft.com/office/officeart/2005/8/layout/arrow2"/>
    <dgm:cxn modelId="{87F2000B-84FB-4527-8764-6F44C5A53025}" type="presOf" srcId="{72B6740D-9266-49D1-9673-D73E560DCAAD}" destId="{24D958E3-E8C9-4A9D-85AE-1D64558ED7B3}" srcOrd="0" destOrd="0" presId="urn:microsoft.com/office/officeart/2005/8/layout/arrow2"/>
    <dgm:cxn modelId="{83AF79DD-DF06-4489-87AA-7F8430BFDAB9}" type="presOf" srcId="{1F2A1B54-A556-4C55-BED6-E43D33C24D5C}" destId="{67C44B56-D55A-4CAC-A2E7-81DA19F5FBD7}" srcOrd="0" destOrd="0" presId="urn:microsoft.com/office/officeart/2005/8/layout/arrow2"/>
    <dgm:cxn modelId="{17D969A6-18B0-4CD9-9BDF-236FB5324C22}" srcId="{F77D9374-76E8-4A6C-A747-555582AC8E7A}" destId="{72B6740D-9266-49D1-9673-D73E560DCAAD}" srcOrd="2" destOrd="0" parTransId="{DD3814A1-079C-46DE-97E7-A37EF7D245E7}" sibTransId="{39AFDBA1-49AE-4D7E-ACE7-FB384D8B5BEC}"/>
    <dgm:cxn modelId="{E79963FA-9651-424B-8858-E7CBDA463D03}" type="presOf" srcId="{F77D9374-76E8-4A6C-A747-555582AC8E7A}" destId="{CC43592A-B3BE-4B86-ADAE-229D2B0CFF65}" srcOrd="0" destOrd="0" presId="urn:microsoft.com/office/officeart/2005/8/layout/arrow2"/>
    <dgm:cxn modelId="{1539A439-D410-4BBE-AD8D-ECA9CD11315E}" srcId="{F77D9374-76E8-4A6C-A747-555582AC8E7A}" destId="{1F2A1B54-A556-4C55-BED6-E43D33C24D5C}" srcOrd="3" destOrd="0" parTransId="{F89099C3-2749-4D36-B0D9-63774B2C2C1C}" sibTransId="{9410FC97-B7FC-4EA7-92A9-2EC2E021A3E1}"/>
    <dgm:cxn modelId="{1CCF2DE1-0C8B-4171-A7D6-C35119BE9FAB}" type="presParOf" srcId="{CC43592A-B3BE-4B86-ADAE-229D2B0CFF65}" destId="{3AE5B439-E3FD-46AB-A6BB-CD04C15F67CA}" srcOrd="0" destOrd="0" presId="urn:microsoft.com/office/officeart/2005/8/layout/arrow2"/>
    <dgm:cxn modelId="{61BA2F10-C116-4959-846C-23E895E9CD26}" type="presParOf" srcId="{CC43592A-B3BE-4B86-ADAE-229D2B0CFF65}" destId="{2C761EEE-BE2C-4855-B72C-A89EF7DE24A9}" srcOrd="1" destOrd="0" presId="urn:microsoft.com/office/officeart/2005/8/layout/arrow2"/>
    <dgm:cxn modelId="{0376738B-0DA2-4511-955A-C3188BB16201}" type="presParOf" srcId="{2C761EEE-BE2C-4855-B72C-A89EF7DE24A9}" destId="{23170D65-8124-4B4E-BB79-CB161D9AF406}" srcOrd="0" destOrd="0" presId="urn:microsoft.com/office/officeart/2005/8/layout/arrow2"/>
    <dgm:cxn modelId="{1BDA4A0D-421E-4500-9B10-87D4E4DD9042}" type="presParOf" srcId="{2C761EEE-BE2C-4855-B72C-A89EF7DE24A9}" destId="{27E15A30-E890-4416-9D3A-77AE7E95A982}" srcOrd="1" destOrd="0" presId="urn:microsoft.com/office/officeart/2005/8/layout/arrow2"/>
    <dgm:cxn modelId="{97D61E2A-40E1-42A2-9078-FDF7857889DB}" type="presParOf" srcId="{2C761EEE-BE2C-4855-B72C-A89EF7DE24A9}" destId="{8D055E41-244A-4E33-9E59-043455ECBD0D}" srcOrd="2" destOrd="0" presId="urn:microsoft.com/office/officeart/2005/8/layout/arrow2"/>
    <dgm:cxn modelId="{20823477-9BA0-4744-9E54-C350D6B8E2C8}" type="presParOf" srcId="{2C761EEE-BE2C-4855-B72C-A89EF7DE24A9}" destId="{FF799365-858A-4981-8493-28E51A28985C}" srcOrd="3" destOrd="0" presId="urn:microsoft.com/office/officeart/2005/8/layout/arrow2"/>
    <dgm:cxn modelId="{C8C0A63C-2EF8-4B0E-967D-6CFA0E900075}" type="presParOf" srcId="{2C761EEE-BE2C-4855-B72C-A89EF7DE24A9}" destId="{B066D2E6-6EE1-40DF-A7B8-4670429C488E}" srcOrd="4" destOrd="0" presId="urn:microsoft.com/office/officeart/2005/8/layout/arrow2"/>
    <dgm:cxn modelId="{238C9131-020B-4489-A7FC-662A9B10F925}" type="presParOf" srcId="{2C761EEE-BE2C-4855-B72C-A89EF7DE24A9}" destId="{24D958E3-E8C9-4A9D-85AE-1D64558ED7B3}" srcOrd="5" destOrd="0" presId="urn:microsoft.com/office/officeart/2005/8/layout/arrow2"/>
    <dgm:cxn modelId="{388A9835-065E-41F8-B34F-2336288615C8}" type="presParOf" srcId="{2C761EEE-BE2C-4855-B72C-A89EF7DE24A9}" destId="{9F4A49FF-D6FD-40F8-A929-6B2D2146495A}" srcOrd="6" destOrd="0" presId="urn:microsoft.com/office/officeart/2005/8/layout/arrow2"/>
    <dgm:cxn modelId="{C3F2F009-102C-45FF-92B4-268D53493F61}" type="presParOf" srcId="{2C761EEE-BE2C-4855-B72C-A89EF7DE24A9}" destId="{67C44B56-D55A-4CAC-A2E7-81DA19F5FBD7}" srcOrd="7" destOrd="0" presId="urn:microsoft.com/office/officeart/2005/8/layout/arrow2"/>
  </dgm:cxnLst>
  <dgm:bg/>
  <dgm:whole/>
  <dgm:extLst>
    <a:ext uri="http://schemas.microsoft.com/office/drawing/2008/diagram">
      <dsp:dataModelExt xmlns:dsp="http://schemas.microsoft.com/office/drawing/2008/diagram" xmlns="" relId="rId46"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F1E079A2-F70D-4468-9BD7-3E0BF38E0487}" type="doc">
      <dgm:prSet loTypeId="urn:microsoft.com/office/officeart/2005/8/layout/funnel1" loCatId="process" qsTypeId="urn:microsoft.com/office/officeart/2005/8/quickstyle/simple1" qsCatId="simple" csTypeId="urn:microsoft.com/office/officeart/2005/8/colors/accent1_2" csCatId="accent1" phldr="1"/>
      <dgm:spPr/>
      <dgm:t>
        <a:bodyPr/>
        <a:lstStyle/>
        <a:p>
          <a:pPr rtl="1"/>
          <a:endParaRPr lang="ar-SA"/>
        </a:p>
      </dgm:t>
    </dgm:pt>
    <dgm:pt modelId="{CE674C69-3EBD-40A2-97E3-38408CDE8532}">
      <dgm:prSet phldrT="[Text]" custT="1"/>
      <dgm:spPr/>
      <dgm:t>
        <a:bodyPr/>
        <a:lstStyle/>
        <a:p>
          <a:pPr algn="ctr" rtl="0"/>
          <a:r>
            <a:rPr lang="en-GB" sz="900" b="1">
              <a:latin typeface="Arial" pitchFamily="34" charset="0"/>
              <a:cs typeface="Arial" pitchFamily="34" charset="0"/>
            </a:rPr>
            <a:t>Trade Balance USD </a:t>
          </a:r>
          <a:r>
            <a:rPr lang="en-US" sz="900" b="1">
              <a:latin typeface="Arial" pitchFamily="34" charset="0"/>
              <a:cs typeface="Arial" pitchFamily="34" charset="0"/>
            </a:rPr>
            <a:t>-5,827</a:t>
          </a:r>
          <a:r>
            <a:rPr lang="ar-SA" sz="900" b="1">
              <a:latin typeface="Arial" pitchFamily="34" charset="0"/>
              <a:cs typeface="Arial" pitchFamily="34" charset="0"/>
            </a:rPr>
            <a:t> </a:t>
          </a:r>
          <a:r>
            <a:rPr lang="en-US" sz="900" b="1">
              <a:latin typeface="Arial" pitchFamily="34" charset="0"/>
              <a:cs typeface="Arial" pitchFamily="34" charset="0"/>
            </a:rPr>
            <a:t>million </a:t>
          </a:r>
          <a:endParaRPr lang="ar-SA" sz="900" b="1">
            <a:latin typeface="Arial" pitchFamily="34" charset="0"/>
            <a:cs typeface="Arial" pitchFamily="34" charset="0"/>
          </a:endParaRPr>
        </a:p>
      </dgm:t>
    </dgm:pt>
    <dgm:pt modelId="{7A6C3EE8-300A-4024-8234-33EFB20F70AC}" type="parTrans" cxnId="{6875CFFC-AF6B-46F3-B4B9-0ABFC0CF2303}">
      <dgm:prSet/>
      <dgm:spPr/>
      <dgm:t>
        <a:bodyPr/>
        <a:lstStyle/>
        <a:p>
          <a:pPr rtl="1"/>
          <a:endParaRPr lang="ar-SA"/>
        </a:p>
      </dgm:t>
    </dgm:pt>
    <dgm:pt modelId="{C2FE2888-9ACD-45A4-A918-E325ABBCFFF4}" type="sibTrans" cxnId="{6875CFFC-AF6B-46F3-B4B9-0ABFC0CF2303}">
      <dgm:prSet/>
      <dgm:spPr/>
      <dgm:t>
        <a:bodyPr/>
        <a:lstStyle/>
        <a:p>
          <a:pPr rtl="1"/>
          <a:endParaRPr lang="ar-SA"/>
        </a:p>
      </dgm:t>
    </dgm:pt>
    <dgm:pt modelId="{334B1F5D-0192-4052-A490-A366B98C5FF5}">
      <dgm:prSet phldrT="[Text]" custT="1"/>
      <dgm:spPr/>
      <dgm:t>
        <a:bodyPr/>
        <a:lstStyle/>
        <a:p>
          <a:pPr rtl="0"/>
          <a:r>
            <a:rPr lang="en-GB" sz="900" b="1">
              <a:latin typeface="Arial" pitchFamily="34" charset="0"/>
              <a:cs typeface="Arial" pitchFamily="34" charset="0"/>
            </a:rPr>
            <a:t>Net Current Transfers </a:t>
          </a:r>
          <a:r>
            <a:rPr lang="en-US" sz="900" b="1">
              <a:latin typeface="Arial" pitchFamily="34" charset="0"/>
              <a:cs typeface="Arial" pitchFamily="34" charset="0"/>
            </a:rPr>
            <a:t>USD 1,774 million</a:t>
          </a:r>
          <a:endParaRPr lang="ar-SA" sz="900" b="1">
            <a:latin typeface="Arial" pitchFamily="34" charset="0"/>
            <a:cs typeface="Arial" pitchFamily="34" charset="0"/>
          </a:endParaRPr>
        </a:p>
      </dgm:t>
    </dgm:pt>
    <dgm:pt modelId="{30865C1D-4C94-4154-84B8-049B5BB13151}" type="parTrans" cxnId="{B9896D2F-A163-4E65-A903-70A5111FCCAF}">
      <dgm:prSet/>
      <dgm:spPr/>
      <dgm:t>
        <a:bodyPr/>
        <a:lstStyle/>
        <a:p>
          <a:pPr rtl="1"/>
          <a:endParaRPr lang="ar-SA"/>
        </a:p>
      </dgm:t>
    </dgm:pt>
    <dgm:pt modelId="{F280FE2F-7F0C-4AEA-B5A4-3BC1CD831165}" type="sibTrans" cxnId="{B9896D2F-A163-4E65-A903-70A5111FCCAF}">
      <dgm:prSet/>
      <dgm:spPr/>
      <dgm:t>
        <a:bodyPr/>
        <a:lstStyle/>
        <a:p>
          <a:pPr rtl="1"/>
          <a:endParaRPr lang="ar-SA"/>
        </a:p>
      </dgm:t>
    </dgm:pt>
    <dgm:pt modelId="{4B7F2A38-D82F-42AD-9CB3-0EF404504ACA}">
      <dgm:prSet phldrT="[Text]" custT="1"/>
      <dgm:spPr/>
      <dgm:t>
        <a:bodyPr/>
        <a:lstStyle/>
        <a:p>
          <a:pPr rtl="0"/>
          <a:endParaRPr lang="en-GB" sz="1000" b="1"/>
        </a:p>
        <a:p>
          <a:pPr rtl="0"/>
          <a:r>
            <a:rPr lang="en-GB" sz="900" b="1">
              <a:latin typeface="Arial" pitchFamily="34" charset="0"/>
              <a:cs typeface="Arial" pitchFamily="34" charset="0"/>
            </a:rPr>
            <a:t>Net Income </a:t>
          </a:r>
          <a:r>
            <a:rPr lang="en-US" sz="900" b="1">
              <a:latin typeface="Arial" pitchFamily="34" charset="0"/>
              <a:cs typeface="Arial" pitchFamily="34" charset="0"/>
            </a:rPr>
            <a:t>USD 2,394 million</a:t>
          </a:r>
          <a:endParaRPr lang="ar-SA" sz="900" b="1">
            <a:latin typeface="Arial" pitchFamily="34" charset="0"/>
            <a:cs typeface="Arial" pitchFamily="34" charset="0"/>
          </a:endParaRPr>
        </a:p>
        <a:p>
          <a:pPr rtl="1"/>
          <a:endParaRPr lang="ar-SA" sz="1000">
            <a:latin typeface="Arial" pitchFamily="34" charset="0"/>
            <a:cs typeface="Arial" pitchFamily="34" charset="0"/>
          </a:endParaRPr>
        </a:p>
      </dgm:t>
    </dgm:pt>
    <dgm:pt modelId="{3AF48198-5918-41D4-970D-0C904F750DCE}" type="parTrans" cxnId="{589FDF92-8186-4B72-83BE-5C2CA04A8401}">
      <dgm:prSet/>
      <dgm:spPr/>
      <dgm:t>
        <a:bodyPr/>
        <a:lstStyle/>
        <a:p>
          <a:pPr rtl="1"/>
          <a:endParaRPr lang="ar-SA"/>
        </a:p>
      </dgm:t>
    </dgm:pt>
    <dgm:pt modelId="{BFE01162-54D0-4FE4-8B38-2D5DE7415180}" type="sibTrans" cxnId="{589FDF92-8186-4B72-83BE-5C2CA04A8401}">
      <dgm:prSet/>
      <dgm:spPr/>
      <dgm:t>
        <a:bodyPr/>
        <a:lstStyle/>
        <a:p>
          <a:pPr rtl="1"/>
          <a:endParaRPr lang="ar-SA"/>
        </a:p>
      </dgm:t>
    </dgm:pt>
    <dgm:pt modelId="{1E24AF27-656E-4438-9B30-1ACA19216E63}">
      <dgm:prSet phldrT="[Text]" custT="1"/>
      <dgm:spPr>
        <a:solidFill>
          <a:schemeClr val="accent1"/>
        </a:solidFill>
      </dgm:spPr>
      <dgm:t>
        <a:bodyPr/>
        <a:lstStyle/>
        <a:p>
          <a:pPr rtl="0"/>
          <a:r>
            <a:rPr lang="en-US" sz="900" b="1">
              <a:solidFill>
                <a:schemeClr val="bg1"/>
              </a:solidFill>
              <a:latin typeface="Arial" pitchFamily="34" charset="0"/>
              <a:cs typeface="Arial" pitchFamily="34" charset="0"/>
            </a:rPr>
            <a:t>Net </a:t>
          </a:r>
          <a:r>
            <a:rPr lang="en-GB" sz="900" b="1">
              <a:solidFill>
                <a:schemeClr val="bg1"/>
              </a:solidFill>
              <a:latin typeface="Arial" pitchFamily="34" charset="0"/>
              <a:cs typeface="Arial" pitchFamily="34" charset="0"/>
            </a:rPr>
            <a:t>Current Account         </a:t>
          </a:r>
          <a:r>
            <a:rPr lang="en-US" sz="900" b="1">
              <a:solidFill>
                <a:schemeClr val="bg1"/>
              </a:solidFill>
              <a:latin typeface="Arial" pitchFamily="34" charset="0"/>
              <a:cs typeface="Arial" pitchFamily="34" charset="0"/>
            </a:rPr>
            <a:t>USD -1,659 million</a:t>
          </a:r>
          <a:endParaRPr lang="ar-SA" sz="900" b="1">
            <a:solidFill>
              <a:schemeClr val="bg1"/>
            </a:solidFill>
            <a:latin typeface="Arial" pitchFamily="34" charset="0"/>
            <a:cs typeface="Arial" pitchFamily="34" charset="0"/>
          </a:endParaRPr>
        </a:p>
      </dgm:t>
    </dgm:pt>
    <dgm:pt modelId="{F63B2C65-4B9C-44AF-8DD5-6F3983D98695}" type="parTrans" cxnId="{D70127A0-1B28-4083-AAA7-9ED72A199E65}">
      <dgm:prSet/>
      <dgm:spPr/>
      <dgm:t>
        <a:bodyPr/>
        <a:lstStyle/>
        <a:p>
          <a:pPr rtl="1"/>
          <a:endParaRPr lang="ar-SA"/>
        </a:p>
      </dgm:t>
    </dgm:pt>
    <dgm:pt modelId="{53BC4C2E-E73A-4A48-9412-68526C15A500}" type="sibTrans" cxnId="{D70127A0-1B28-4083-AAA7-9ED72A199E65}">
      <dgm:prSet/>
      <dgm:spPr/>
      <dgm:t>
        <a:bodyPr/>
        <a:lstStyle/>
        <a:p>
          <a:pPr rtl="1"/>
          <a:endParaRPr lang="ar-SA"/>
        </a:p>
      </dgm:t>
    </dgm:pt>
    <dgm:pt modelId="{48EC55A1-F4A8-4B92-A057-5783701D83DF}" type="pres">
      <dgm:prSet presAssocID="{F1E079A2-F70D-4468-9BD7-3E0BF38E0487}" presName="Name0" presStyleCnt="0">
        <dgm:presLayoutVars>
          <dgm:chMax val="4"/>
          <dgm:resizeHandles val="exact"/>
        </dgm:presLayoutVars>
      </dgm:prSet>
      <dgm:spPr/>
      <dgm:t>
        <a:bodyPr/>
        <a:lstStyle/>
        <a:p>
          <a:endParaRPr lang="en-GB"/>
        </a:p>
      </dgm:t>
    </dgm:pt>
    <dgm:pt modelId="{5796A694-F4FF-4B3E-A942-284DE15677BC}" type="pres">
      <dgm:prSet presAssocID="{F1E079A2-F70D-4468-9BD7-3E0BF38E0487}" presName="ellipse" presStyleLbl="trBgShp" presStyleIdx="0" presStyleCnt="1" custLinFactNeighborX="-644" custLinFactNeighborY="9276"/>
      <dgm:spPr/>
    </dgm:pt>
    <dgm:pt modelId="{DCB9BD45-C57E-49CA-82E9-26AC99A55757}" type="pres">
      <dgm:prSet presAssocID="{F1E079A2-F70D-4468-9BD7-3E0BF38E0487}" presName="arrow1" presStyleLbl="fgShp" presStyleIdx="0" presStyleCnt="1"/>
      <dgm:spPr/>
    </dgm:pt>
    <dgm:pt modelId="{D8AD76FD-8000-4CCA-9A68-001C40EB1E55}" type="pres">
      <dgm:prSet presAssocID="{F1E079A2-F70D-4468-9BD7-3E0BF38E0487}" presName="rectangle" presStyleLbl="revTx" presStyleIdx="0" presStyleCnt="1">
        <dgm:presLayoutVars>
          <dgm:bulletEnabled val="1"/>
        </dgm:presLayoutVars>
      </dgm:prSet>
      <dgm:spPr/>
      <dgm:t>
        <a:bodyPr/>
        <a:lstStyle/>
        <a:p>
          <a:endParaRPr lang="en-GB"/>
        </a:p>
      </dgm:t>
    </dgm:pt>
    <dgm:pt modelId="{6E40B1CB-5439-47E8-8E27-6426FCF4E26F}" type="pres">
      <dgm:prSet presAssocID="{334B1F5D-0192-4052-A490-A366B98C5FF5}" presName="item1" presStyleLbl="node1" presStyleIdx="0" presStyleCnt="3" custScaleX="169735" custScaleY="125426" custLinFactNeighborX="-18566" custLinFactNeighborY="3154">
        <dgm:presLayoutVars>
          <dgm:bulletEnabled val="1"/>
        </dgm:presLayoutVars>
      </dgm:prSet>
      <dgm:spPr/>
      <dgm:t>
        <a:bodyPr/>
        <a:lstStyle/>
        <a:p>
          <a:endParaRPr lang="en-GB"/>
        </a:p>
      </dgm:t>
    </dgm:pt>
    <dgm:pt modelId="{96612AA0-ACD9-4783-A6F6-EAB5073ADAA4}" type="pres">
      <dgm:prSet presAssocID="{4B7F2A38-D82F-42AD-9CB3-0EF404504ACA}" presName="item2" presStyleLbl="node1" presStyleIdx="1" presStyleCnt="3" custScaleX="204669" custScaleY="146322" custLinFactNeighborX="-36366" custLinFactNeighborY="-26051">
        <dgm:presLayoutVars>
          <dgm:bulletEnabled val="1"/>
        </dgm:presLayoutVars>
      </dgm:prSet>
      <dgm:spPr/>
      <dgm:t>
        <a:bodyPr/>
        <a:lstStyle/>
        <a:p>
          <a:endParaRPr lang="en-GB"/>
        </a:p>
      </dgm:t>
    </dgm:pt>
    <dgm:pt modelId="{FE225B49-A847-4356-B912-925CCEFE5E4A}" type="pres">
      <dgm:prSet presAssocID="{1E24AF27-656E-4438-9B30-1ACA19216E63}" presName="item3" presStyleLbl="node1" presStyleIdx="2" presStyleCnt="3" custScaleX="193788" custScaleY="134782" custLinFactNeighborX="65031" custLinFactNeighborY="4617">
        <dgm:presLayoutVars>
          <dgm:bulletEnabled val="1"/>
        </dgm:presLayoutVars>
      </dgm:prSet>
      <dgm:spPr/>
      <dgm:t>
        <a:bodyPr/>
        <a:lstStyle/>
        <a:p>
          <a:endParaRPr lang="en-GB"/>
        </a:p>
      </dgm:t>
    </dgm:pt>
    <dgm:pt modelId="{10600F30-24CA-44D1-A709-B0773DADCB6E}" type="pres">
      <dgm:prSet presAssocID="{F1E079A2-F70D-4468-9BD7-3E0BF38E0487}" presName="funnel" presStyleLbl="trAlignAcc1" presStyleIdx="0" presStyleCnt="1" custScaleX="157922" custLinFactNeighborX="3435" custLinFactNeighborY="-893"/>
      <dgm:spPr/>
    </dgm:pt>
  </dgm:ptLst>
  <dgm:cxnLst>
    <dgm:cxn modelId="{FE88F3FB-A30E-4FD6-A432-BA688ACBD769}" type="presOf" srcId="{CE674C69-3EBD-40A2-97E3-38408CDE8532}" destId="{FE225B49-A847-4356-B912-925CCEFE5E4A}" srcOrd="0" destOrd="0" presId="urn:microsoft.com/office/officeart/2005/8/layout/funnel1"/>
    <dgm:cxn modelId="{B9896D2F-A163-4E65-A903-70A5111FCCAF}" srcId="{F1E079A2-F70D-4468-9BD7-3E0BF38E0487}" destId="{334B1F5D-0192-4052-A490-A366B98C5FF5}" srcOrd="1" destOrd="0" parTransId="{30865C1D-4C94-4154-84B8-049B5BB13151}" sibTransId="{F280FE2F-7F0C-4AEA-B5A4-3BC1CD831165}"/>
    <dgm:cxn modelId="{323BE95A-2759-454F-8656-811530DB84DF}" type="presOf" srcId="{334B1F5D-0192-4052-A490-A366B98C5FF5}" destId="{96612AA0-ACD9-4783-A6F6-EAB5073ADAA4}" srcOrd="0" destOrd="0" presId="urn:microsoft.com/office/officeart/2005/8/layout/funnel1"/>
    <dgm:cxn modelId="{0ADC301D-5760-4547-9697-A26799DA0D03}" type="presOf" srcId="{4B7F2A38-D82F-42AD-9CB3-0EF404504ACA}" destId="{6E40B1CB-5439-47E8-8E27-6426FCF4E26F}" srcOrd="0" destOrd="0" presId="urn:microsoft.com/office/officeart/2005/8/layout/funnel1"/>
    <dgm:cxn modelId="{CC22F501-017D-40D4-A14C-341D286852E2}" type="presOf" srcId="{1E24AF27-656E-4438-9B30-1ACA19216E63}" destId="{D8AD76FD-8000-4CCA-9A68-001C40EB1E55}" srcOrd="0" destOrd="0" presId="urn:microsoft.com/office/officeart/2005/8/layout/funnel1"/>
    <dgm:cxn modelId="{D70127A0-1B28-4083-AAA7-9ED72A199E65}" srcId="{F1E079A2-F70D-4468-9BD7-3E0BF38E0487}" destId="{1E24AF27-656E-4438-9B30-1ACA19216E63}" srcOrd="3" destOrd="0" parTransId="{F63B2C65-4B9C-44AF-8DD5-6F3983D98695}" sibTransId="{53BC4C2E-E73A-4A48-9412-68526C15A500}"/>
    <dgm:cxn modelId="{6875CFFC-AF6B-46F3-B4B9-0ABFC0CF2303}" srcId="{F1E079A2-F70D-4468-9BD7-3E0BF38E0487}" destId="{CE674C69-3EBD-40A2-97E3-38408CDE8532}" srcOrd="0" destOrd="0" parTransId="{7A6C3EE8-300A-4024-8234-33EFB20F70AC}" sibTransId="{C2FE2888-9ACD-45A4-A918-E325ABBCFFF4}"/>
    <dgm:cxn modelId="{ABD82066-8E7E-4949-9351-B10B3445F508}" type="presOf" srcId="{F1E079A2-F70D-4468-9BD7-3E0BF38E0487}" destId="{48EC55A1-F4A8-4B92-A057-5783701D83DF}" srcOrd="0" destOrd="0" presId="urn:microsoft.com/office/officeart/2005/8/layout/funnel1"/>
    <dgm:cxn modelId="{589FDF92-8186-4B72-83BE-5C2CA04A8401}" srcId="{F1E079A2-F70D-4468-9BD7-3E0BF38E0487}" destId="{4B7F2A38-D82F-42AD-9CB3-0EF404504ACA}" srcOrd="2" destOrd="0" parTransId="{3AF48198-5918-41D4-970D-0C904F750DCE}" sibTransId="{BFE01162-54D0-4FE4-8B38-2D5DE7415180}"/>
    <dgm:cxn modelId="{043E223A-3797-4A55-A851-E33A53A72A9E}" type="presParOf" srcId="{48EC55A1-F4A8-4B92-A057-5783701D83DF}" destId="{5796A694-F4FF-4B3E-A942-284DE15677BC}" srcOrd="0" destOrd="0" presId="urn:microsoft.com/office/officeart/2005/8/layout/funnel1"/>
    <dgm:cxn modelId="{DF45B49E-F8EB-4D1A-956F-6E89F562BD75}" type="presParOf" srcId="{48EC55A1-F4A8-4B92-A057-5783701D83DF}" destId="{DCB9BD45-C57E-49CA-82E9-26AC99A55757}" srcOrd="1" destOrd="0" presId="urn:microsoft.com/office/officeart/2005/8/layout/funnel1"/>
    <dgm:cxn modelId="{FC2DDA10-C7D7-4D7D-913C-5D924F8DA45A}" type="presParOf" srcId="{48EC55A1-F4A8-4B92-A057-5783701D83DF}" destId="{D8AD76FD-8000-4CCA-9A68-001C40EB1E55}" srcOrd="2" destOrd="0" presId="urn:microsoft.com/office/officeart/2005/8/layout/funnel1"/>
    <dgm:cxn modelId="{EC6AF9C6-F190-40DC-8196-1893AE6523C9}" type="presParOf" srcId="{48EC55A1-F4A8-4B92-A057-5783701D83DF}" destId="{6E40B1CB-5439-47E8-8E27-6426FCF4E26F}" srcOrd="3" destOrd="0" presId="urn:microsoft.com/office/officeart/2005/8/layout/funnel1"/>
    <dgm:cxn modelId="{A5281C6B-1C81-49BA-9FC6-95989DA1038D}" type="presParOf" srcId="{48EC55A1-F4A8-4B92-A057-5783701D83DF}" destId="{96612AA0-ACD9-4783-A6F6-EAB5073ADAA4}" srcOrd="4" destOrd="0" presId="urn:microsoft.com/office/officeart/2005/8/layout/funnel1"/>
    <dgm:cxn modelId="{F7B19C54-60BB-48F8-B25B-8AB874FC7115}" type="presParOf" srcId="{48EC55A1-F4A8-4B92-A057-5783701D83DF}" destId="{FE225B49-A847-4356-B912-925CCEFE5E4A}" srcOrd="5" destOrd="0" presId="urn:microsoft.com/office/officeart/2005/8/layout/funnel1"/>
    <dgm:cxn modelId="{19A7F789-AAF2-498B-8A51-EF6B5AF5935E}" type="presParOf" srcId="{48EC55A1-F4A8-4B92-A057-5783701D83DF}" destId="{10600F30-24CA-44D1-A709-B0773DADCB6E}" srcOrd="6" destOrd="0" presId="urn:microsoft.com/office/officeart/2005/8/layout/funnel1"/>
  </dgm:cxnLst>
  <dgm:bg/>
  <dgm:whole/>
  <dgm:extLst>
    <a:ext uri="http://schemas.microsoft.com/office/drawing/2008/diagram">
      <dsp:dataModelExt xmlns:dsp="http://schemas.microsoft.com/office/drawing/2008/diagram" xmlns="" relId="rId5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3100D57-6700-4026-85E2-EF31B62FDF20}" type="doc">
      <dgm:prSet loTypeId="urn:microsoft.com/office/officeart/2005/8/layout/equation1" loCatId="process" qsTypeId="urn:microsoft.com/office/officeart/2005/8/quickstyle/simple1" qsCatId="simple" csTypeId="urn:microsoft.com/office/officeart/2005/8/colors/accent1_2" csCatId="accent1" phldr="1"/>
      <dgm:spPr/>
    </dgm:pt>
    <dgm:pt modelId="{FCA37546-7E28-4A45-8BE1-06B1B6855577}">
      <dgm:prSet phldrT="[Text]" custT="1"/>
      <dgm:spPr/>
      <dgm:t>
        <a:bodyPr/>
        <a:lstStyle/>
        <a:p>
          <a:pPr rtl="0"/>
          <a:r>
            <a:rPr lang="en-GB" sz="900" b="1">
              <a:latin typeface="Arial" pitchFamily="34" charset="0"/>
              <a:cs typeface="Arial" pitchFamily="34" charset="0"/>
            </a:rPr>
            <a:t>Total Foreign Liabilities        </a:t>
          </a:r>
          <a:r>
            <a:rPr lang="en-US" sz="900" b="1">
              <a:latin typeface="Arial" pitchFamily="34" charset="0"/>
              <a:cs typeface="Arial" pitchFamily="34" charset="0"/>
            </a:rPr>
            <a:t>USD 4,938 million </a:t>
          </a:r>
          <a:endParaRPr lang="en-GB" sz="900" b="1">
            <a:latin typeface="Arial" pitchFamily="34" charset="0"/>
            <a:cs typeface="Arial" pitchFamily="34" charset="0"/>
          </a:endParaRPr>
        </a:p>
      </dgm:t>
    </dgm:pt>
    <dgm:pt modelId="{58848A4F-903A-4EBE-823B-A7F11B83693F}" type="parTrans" cxnId="{352FAEB7-6346-4D37-AA85-10F275118EF3}">
      <dgm:prSet/>
      <dgm:spPr/>
      <dgm:t>
        <a:bodyPr/>
        <a:lstStyle/>
        <a:p>
          <a:endParaRPr lang="en-GB"/>
        </a:p>
      </dgm:t>
    </dgm:pt>
    <dgm:pt modelId="{AF1B14E8-A400-4D22-A0F6-EB2AAEF491DE}" type="sibTrans" cxnId="{352FAEB7-6346-4D37-AA85-10F275118EF3}">
      <dgm:prSet/>
      <dgm:spPr/>
      <dgm:t>
        <a:bodyPr/>
        <a:lstStyle/>
        <a:p>
          <a:endParaRPr lang="en-GB"/>
        </a:p>
      </dgm:t>
    </dgm:pt>
    <dgm:pt modelId="{06ADC8AA-4AAA-432F-ACD0-763AAD94AAEA}">
      <dgm:prSet custT="1"/>
      <dgm:spPr/>
      <dgm:t>
        <a:bodyPr anchor="ctr" anchorCtr="0"/>
        <a:lstStyle/>
        <a:p>
          <a:pPr rtl="0"/>
          <a:r>
            <a:rPr lang="en-GB" sz="900" b="1">
              <a:latin typeface="Arial" pitchFamily="34" charset="0"/>
              <a:cs typeface="Arial" pitchFamily="34" charset="0"/>
            </a:rPr>
            <a:t>Total External Assets</a:t>
          </a:r>
          <a:r>
            <a:rPr lang="en-US" sz="900" b="1">
              <a:latin typeface="Arial" pitchFamily="34" charset="0"/>
              <a:cs typeface="Arial" pitchFamily="34" charset="0"/>
            </a:rPr>
            <a:t>             USD</a:t>
          </a:r>
          <a:r>
            <a:rPr lang="en-GB" sz="900" b="1">
              <a:latin typeface="Arial" pitchFamily="34" charset="0"/>
              <a:cs typeface="Arial" pitchFamily="34" charset="0"/>
            </a:rPr>
            <a:t> </a:t>
          </a:r>
          <a:r>
            <a:rPr lang="en-US" sz="900" b="1">
              <a:latin typeface="Arial" pitchFamily="34" charset="0"/>
              <a:cs typeface="Arial" pitchFamily="34" charset="0"/>
            </a:rPr>
            <a:t>6,597 million</a:t>
          </a:r>
          <a:endParaRPr lang="en-GB" sz="900" b="1">
            <a:latin typeface="Arial" pitchFamily="34" charset="0"/>
            <a:cs typeface="Arial" pitchFamily="34" charset="0"/>
          </a:endParaRPr>
        </a:p>
      </dgm:t>
    </dgm:pt>
    <dgm:pt modelId="{8E8A1CB2-4B49-4C23-A1F1-0A72B1536D7E}" type="parTrans" cxnId="{42E985B4-9529-4DDF-ACCF-AB0F10771CDE}">
      <dgm:prSet/>
      <dgm:spPr/>
      <dgm:t>
        <a:bodyPr/>
        <a:lstStyle/>
        <a:p>
          <a:pPr rtl="1"/>
          <a:endParaRPr lang="ar-SA"/>
        </a:p>
      </dgm:t>
    </dgm:pt>
    <dgm:pt modelId="{61E291A6-8158-43E9-8764-52C8AEAE3B90}" type="sibTrans" cxnId="{42E985B4-9529-4DDF-ACCF-AB0F10771CDE}">
      <dgm:prSet/>
      <dgm:spPr/>
      <dgm:t>
        <a:bodyPr/>
        <a:lstStyle/>
        <a:p>
          <a:endParaRPr lang="en-GB"/>
        </a:p>
      </dgm:t>
    </dgm:pt>
    <dgm:pt modelId="{E7167509-6842-42DD-AC8D-1DA2677CA0FD}">
      <dgm:prSet phldrT="[Text]" custT="1"/>
      <dgm:spPr/>
      <dgm:t>
        <a:bodyPr/>
        <a:lstStyle/>
        <a:p>
          <a:pPr rtl="0"/>
          <a:r>
            <a:rPr lang="en-GB" sz="900" b="1">
              <a:latin typeface="Arial" pitchFamily="34" charset="0"/>
              <a:cs typeface="Arial" pitchFamily="34" charset="0"/>
            </a:rPr>
            <a:t>Net International Investment Position </a:t>
          </a:r>
          <a:r>
            <a:rPr lang="en-US" sz="900" b="1">
              <a:latin typeface="Arial" pitchFamily="34" charset="0"/>
              <a:cs typeface="Arial" pitchFamily="34" charset="0"/>
            </a:rPr>
            <a:t>USD</a:t>
          </a:r>
          <a:r>
            <a:rPr lang="ar-SA" sz="900" b="1">
              <a:latin typeface="Arial" pitchFamily="34" charset="0"/>
              <a:cs typeface="Arial" pitchFamily="34" charset="0"/>
            </a:rPr>
            <a:t> </a:t>
          </a:r>
          <a:r>
            <a:rPr lang="en-US" sz="900" b="1">
              <a:latin typeface="Arial" pitchFamily="34" charset="0"/>
              <a:cs typeface="Arial" pitchFamily="34" charset="0"/>
            </a:rPr>
            <a:t>1,659</a:t>
          </a:r>
          <a:r>
            <a:rPr lang="en-GB" sz="900" b="1">
              <a:latin typeface="Arial" pitchFamily="34" charset="0"/>
              <a:cs typeface="Arial" pitchFamily="34" charset="0"/>
            </a:rPr>
            <a:t> </a:t>
          </a:r>
          <a:r>
            <a:rPr lang="en-US" sz="900" b="1">
              <a:latin typeface="Arial" pitchFamily="34" charset="0"/>
              <a:cs typeface="Arial" pitchFamily="34" charset="0"/>
            </a:rPr>
            <a:t>million</a:t>
          </a:r>
          <a:endParaRPr lang="en-GB" sz="900" b="1">
            <a:latin typeface="Arial" pitchFamily="34" charset="0"/>
            <a:cs typeface="Arial" pitchFamily="34" charset="0"/>
          </a:endParaRPr>
        </a:p>
      </dgm:t>
    </dgm:pt>
    <dgm:pt modelId="{CA3CD767-6F3E-4936-AB31-7123126C718B}" type="sibTrans" cxnId="{D5C07BF2-9154-4344-B7C8-F1966164CE10}">
      <dgm:prSet/>
      <dgm:spPr/>
      <dgm:t>
        <a:bodyPr/>
        <a:lstStyle/>
        <a:p>
          <a:endParaRPr lang="en-GB"/>
        </a:p>
      </dgm:t>
    </dgm:pt>
    <dgm:pt modelId="{7CFCBCB6-D6BB-458C-8EB0-8B93E5950517}" type="parTrans" cxnId="{D5C07BF2-9154-4344-B7C8-F1966164CE10}">
      <dgm:prSet/>
      <dgm:spPr/>
      <dgm:t>
        <a:bodyPr/>
        <a:lstStyle/>
        <a:p>
          <a:endParaRPr lang="en-GB"/>
        </a:p>
      </dgm:t>
    </dgm:pt>
    <dgm:pt modelId="{95514694-FD33-4C03-BF7F-2F57621BE90A}" type="pres">
      <dgm:prSet presAssocID="{D3100D57-6700-4026-85E2-EF31B62FDF20}" presName="linearFlow" presStyleCnt="0">
        <dgm:presLayoutVars>
          <dgm:dir/>
          <dgm:resizeHandles val="exact"/>
        </dgm:presLayoutVars>
      </dgm:prSet>
      <dgm:spPr/>
    </dgm:pt>
    <dgm:pt modelId="{96677C41-BC16-4058-B772-4B963534D4DA}" type="pres">
      <dgm:prSet presAssocID="{E7167509-6842-42DD-AC8D-1DA2677CA0FD}" presName="node" presStyleLbl="node1" presStyleIdx="0" presStyleCnt="3" custScaleX="216565" custScaleY="171461" custLinFactNeighborY="11658">
        <dgm:presLayoutVars>
          <dgm:bulletEnabled val="1"/>
        </dgm:presLayoutVars>
      </dgm:prSet>
      <dgm:spPr>
        <a:prstGeom prst="flowChartConnector">
          <a:avLst/>
        </a:prstGeom>
      </dgm:spPr>
      <dgm:t>
        <a:bodyPr/>
        <a:lstStyle/>
        <a:p>
          <a:endParaRPr lang="en-GB"/>
        </a:p>
      </dgm:t>
    </dgm:pt>
    <dgm:pt modelId="{E2C68C5A-FB64-4EC9-BB44-15D81F50D24C}" type="pres">
      <dgm:prSet presAssocID="{CA3CD767-6F3E-4936-AB31-7123126C718B}" presName="spacerL" presStyleCnt="0"/>
      <dgm:spPr/>
    </dgm:pt>
    <dgm:pt modelId="{D7E11318-5AA2-42F5-A62D-255F9B7B7E9E}" type="pres">
      <dgm:prSet presAssocID="{CA3CD767-6F3E-4936-AB31-7123126C718B}" presName="sibTrans" presStyleLbl="sibTrans2D1" presStyleIdx="0" presStyleCnt="2"/>
      <dgm:spPr>
        <a:prstGeom prst="mathEqual">
          <a:avLst/>
        </a:prstGeom>
      </dgm:spPr>
      <dgm:t>
        <a:bodyPr/>
        <a:lstStyle/>
        <a:p>
          <a:pPr rtl="1"/>
          <a:endParaRPr lang="ar-SA"/>
        </a:p>
      </dgm:t>
    </dgm:pt>
    <dgm:pt modelId="{52EC9E57-DC11-47E3-9D39-5E70C297559D}" type="pres">
      <dgm:prSet presAssocID="{CA3CD767-6F3E-4936-AB31-7123126C718B}" presName="spacerR" presStyleCnt="0"/>
      <dgm:spPr/>
    </dgm:pt>
    <dgm:pt modelId="{1BD67AB5-6E3B-4091-8675-CC140B07FCAF}" type="pres">
      <dgm:prSet presAssocID="{06ADC8AA-4AAA-432F-ACD0-763AAD94AAEA}" presName="node" presStyleLbl="node1" presStyleIdx="1" presStyleCnt="3" custScaleX="188080" custScaleY="151832" custLinFactNeighborX="-80235" custLinFactNeighborY="9896">
        <dgm:presLayoutVars>
          <dgm:bulletEnabled val="1"/>
        </dgm:presLayoutVars>
      </dgm:prSet>
      <dgm:spPr/>
      <dgm:t>
        <a:bodyPr/>
        <a:lstStyle/>
        <a:p>
          <a:endParaRPr lang="en-GB"/>
        </a:p>
      </dgm:t>
    </dgm:pt>
    <dgm:pt modelId="{0CA27E2E-E394-4331-9488-73B3166AF24F}" type="pres">
      <dgm:prSet presAssocID="{61E291A6-8158-43E9-8764-52C8AEAE3B90}" presName="spacerL" presStyleCnt="0"/>
      <dgm:spPr/>
    </dgm:pt>
    <dgm:pt modelId="{73962B58-4768-405E-AD55-ABD781D3FF1E}" type="pres">
      <dgm:prSet presAssocID="{61E291A6-8158-43E9-8764-52C8AEAE3B90}" presName="sibTrans" presStyleLbl="sibTrans2D1" presStyleIdx="1" presStyleCnt="2" custScaleX="72287" custLinFactNeighborX="-75837" custLinFactNeighborY="-2660"/>
      <dgm:spPr>
        <a:prstGeom prst="mathMinus">
          <a:avLst/>
        </a:prstGeom>
      </dgm:spPr>
      <dgm:t>
        <a:bodyPr/>
        <a:lstStyle/>
        <a:p>
          <a:pPr rtl="1"/>
          <a:endParaRPr lang="ar-SA"/>
        </a:p>
      </dgm:t>
    </dgm:pt>
    <dgm:pt modelId="{05B3A623-54D3-4F76-9C3C-A3762FCAB984}" type="pres">
      <dgm:prSet presAssocID="{61E291A6-8158-43E9-8764-52C8AEAE3B90}" presName="spacerR" presStyleCnt="0"/>
      <dgm:spPr/>
    </dgm:pt>
    <dgm:pt modelId="{2A268429-F318-4BAE-B616-7662387ABD4F}" type="pres">
      <dgm:prSet presAssocID="{FCA37546-7E28-4A45-8BE1-06B1B6855577}" presName="node" presStyleLbl="node1" presStyleIdx="2" presStyleCnt="3" custScaleX="186525" custScaleY="163758" custLinFactNeighborX="-62015" custLinFactNeighborY="9306">
        <dgm:presLayoutVars>
          <dgm:bulletEnabled val="1"/>
        </dgm:presLayoutVars>
      </dgm:prSet>
      <dgm:spPr/>
      <dgm:t>
        <a:bodyPr/>
        <a:lstStyle/>
        <a:p>
          <a:endParaRPr lang="en-GB"/>
        </a:p>
      </dgm:t>
    </dgm:pt>
  </dgm:ptLst>
  <dgm:cxnLst>
    <dgm:cxn modelId="{1B76593B-B7DD-4791-AC6C-5111E9F9A0CE}" type="presOf" srcId="{D3100D57-6700-4026-85E2-EF31B62FDF20}" destId="{95514694-FD33-4C03-BF7F-2F57621BE90A}" srcOrd="0" destOrd="0" presId="urn:microsoft.com/office/officeart/2005/8/layout/equation1"/>
    <dgm:cxn modelId="{1707F1D0-847B-43ED-B97C-63BC9D050936}" type="presOf" srcId="{FCA37546-7E28-4A45-8BE1-06B1B6855577}" destId="{2A268429-F318-4BAE-B616-7662387ABD4F}" srcOrd="0" destOrd="0" presId="urn:microsoft.com/office/officeart/2005/8/layout/equation1"/>
    <dgm:cxn modelId="{352FAEB7-6346-4D37-AA85-10F275118EF3}" srcId="{D3100D57-6700-4026-85E2-EF31B62FDF20}" destId="{FCA37546-7E28-4A45-8BE1-06B1B6855577}" srcOrd="2" destOrd="0" parTransId="{58848A4F-903A-4EBE-823B-A7F11B83693F}" sibTransId="{AF1B14E8-A400-4D22-A0F6-EB2AAEF491DE}"/>
    <dgm:cxn modelId="{C4961A60-9351-4E2A-9877-35A66F49DADA}" type="presOf" srcId="{06ADC8AA-4AAA-432F-ACD0-763AAD94AAEA}" destId="{1BD67AB5-6E3B-4091-8675-CC140B07FCAF}" srcOrd="0" destOrd="0" presId="urn:microsoft.com/office/officeart/2005/8/layout/equation1"/>
    <dgm:cxn modelId="{DF07901A-D5B9-435B-9E30-C822C028B72A}" type="presOf" srcId="{61E291A6-8158-43E9-8764-52C8AEAE3B90}" destId="{73962B58-4768-405E-AD55-ABD781D3FF1E}" srcOrd="0" destOrd="0" presId="urn:microsoft.com/office/officeart/2005/8/layout/equation1"/>
    <dgm:cxn modelId="{5A936CEF-6E3F-4E90-843E-9AFBF99C6C83}" type="presOf" srcId="{CA3CD767-6F3E-4936-AB31-7123126C718B}" destId="{D7E11318-5AA2-42F5-A62D-255F9B7B7E9E}" srcOrd="0" destOrd="0" presId="urn:microsoft.com/office/officeart/2005/8/layout/equation1"/>
    <dgm:cxn modelId="{D5C07BF2-9154-4344-B7C8-F1966164CE10}" srcId="{D3100D57-6700-4026-85E2-EF31B62FDF20}" destId="{E7167509-6842-42DD-AC8D-1DA2677CA0FD}" srcOrd="0" destOrd="0" parTransId="{7CFCBCB6-D6BB-458C-8EB0-8B93E5950517}" sibTransId="{CA3CD767-6F3E-4936-AB31-7123126C718B}"/>
    <dgm:cxn modelId="{85B2A048-1663-4A21-94CD-B589C5983BDF}" type="presOf" srcId="{E7167509-6842-42DD-AC8D-1DA2677CA0FD}" destId="{96677C41-BC16-4058-B772-4B963534D4DA}" srcOrd="0" destOrd="0" presId="urn:microsoft.com/office/officeart/2005/8/layout/equation1"/>
    <dgm:cxn modelId="{42E985B4-9529-4DDF-ACCF-AB0F10771CDE}" srcId="{D3100D57-6700-4026-85E2-EF31B62FDF20}" destId="{06ADC8AA-4AAA-432F-ACD0-763AAD94AAEA}" srcOrd="1" destOrd="0" parTransId="{8E8A1CB2-4B49-4C23-A1F1-0A72B1536D7E}" sibTransId="{61E291A6-8158-43E9-8764-52C8AEAE3B90}"/>
    <dgm:cxn modelId="{195963DE-0EF4-4C5A-9123-84FB87F249D6}" type="presParOf" srcId="{95514694-FD33-4C03-BF7F-2F57621BE90A}" destId="{96677C41-BC16-4058-B772-4B963534D4DA}" srcOrd="0" destOrd="0" presId="urn:microsoft.com/office/officeart/2005/8/layout/equation1"/>
    <dgm:cxn modelId="{AF53B022-0643-46A1-B69A-9D16E2B95EFA}" type="presParOf" srcId="{95514694-FD33-4C03-BF7F-2F57621BE90A}" destId="{E2C68C5A-FB64-4EC9-BB44-15D81F50D24C}" srcOrd="1" destOrd="0" presId="urn:microsoft.com/office/officeart/2005/8/layout/equation1"/>
    <dgm:cxn modelId="{F837BD98-8DAA-4681-8BEA-56A19D6FF32B}" type="presParOf" srcId="{95514694-FD33-4C03-BF7F-2F57621BE90A}" destId="{D7E11318-5AA2-42F5-A62D-255F9B7B7E9E}" srcOrd="2" destOrd="0" presId="urn:microsoft.com/office/officeart/2005/8/layout/equation1"/>
    <dgm:cxn modelId="{1BA51EDC-A914-40F8-B919-37E30E244C90}" type="presParOf" srcId="{95514694-FD33-4C03-BF7F-2F57621BE90A}" destId="{52EC9E57-DC11-47E3-9D39-5E70C297559D}" srcOrd="3" destOrd="0" presId="urn:microsoft.com/office/officeart/2005/8/layout/equation1"/>
    <dgm:cxn modelId="{FAA390C3-9387-4C11-85A2-E175794A135D}" type="presParOf" srcId="{95514694-FD33-4C03-BF7F-2F57621BE90A}" destId="{1BD67AB5-6E3B-4091-8675-CC140B07FCAF}" srcOrd="4" destOrd="0" presId="urn:microsoft.com/office/officeart/2005/8/layout/equation1"/>
    <dgm:cxn modelId="{17207804-99D6-4772-9237-DCBF5AF93ED0}" type="presParOf" srcId="{95514694-FD33-4C03-BF7F-2F57621BE90A}" destId="{0CA27E2E-E394-4331-9488-73B3166AF24F}" srcOrd="5" destOrd="0" presId="urn:microsoft.com/office/officeart/2005/8/layout/equation1"/>
    <dgm:cxn modelId="{7A382533-B1A4-4746-BC08-1013E2B8B39B}" type="presParOf" srcId="{95514694-FD33-4C03-BF7F-2F57621BE90A}" destId="{73962B58-4768-405E-AD55-ABD781D3FF1E}" srcOrd="6" destOrd="0" presId="urn:microsoft.com/office/officeart/2005/8/layout/equation1"/>
    <dgm:cxn modelId="{95D02970-28D6-4BB2-8F59-AF9C169A4A87}" type="presParOf" srcId="{95514694-FD33-4C03-BF7F-2F57621BE90A}" destId="{05B3A623-54D3-4F76-9C3C-A3762FCAB984}" srcOrd="7" destOrd="0" presId="urn:microsoft.com/office/officeart/2005/8/layout/equation1"/>
    <dgm:cxn modelId="{92F56C3F-305D-4306-A72D-FDCEB85BC9DA}" type="presParOf" srcId="{95514694-FD33-4C03-BF7F-2F57621BE90A}" destId="{2A268429-F318-4BAE-B616-7662387ABD4F}" srcOrd="8" destOrd="0" presId="urn:microsoft.com/office/officeart/2005/8/layout/equation1"/>
  </dgm:cxnLst>
  <dgm:bg/>
  <dgm:whole/>
  <dgm:extLst>
    <a:ext uri="http://schemas.microsoft.com/office/drawing/2008/diagram">
      <dsp:dataModelExt xmlns:dsp="http://schemas.microsoft.com/office/drawing/2008/diagram" xmlns="" relId="rId5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E0C7682C-3259-4712-A32F-96154291C397}" type="doc">
      <dgm:prSet loTypeId="urn:microsoft.com/office/officeart/2005/8/layout/radial4" loCatId="relationship" qsTypeId="urn:microsoft.com/office/officeart/2005/8/quickstyle/simple1" qsCatId="simple" csTypeId="urn:microsoft.com/office/officeart/2005/8/colors/accent1_2" csCatId="accent1" phldr="1"/>
      <dgm:spPr/>
      <dgm:t>
        <a:bodyPr/>
        <a:lstStyle/>
        <a:p>
          <a:pPr rtl="1"/>
          <a:endParaRPr lang="ar-SA"/>
        </a:p>
      </dgm:t>
    </dgm:pt>
    <dgm:pt modelId="{D49DD077-37CA-4D20-B5A7-85CC1D06C300}">
      <dgm:prSet phldrT="[Text]" custT="1"/>
      <dgm:spPr/>
      <dgm:t>
        <a:bodyPr/>
        <a:lstStyle/>
        <a:p>
          <a:pPr rtl="0"/>
          <a:r>
            <a:rPr lang="en-GB" sz="900" b="1">
              <a:latin typeface="Arial" pitchFamily="34" charset="0"/>
              <a:cs typeface="Arial" pitchFamily="34" charset="0"/>
            </a:rPr>
            <a:t>Gross External Debt Position</a:t>
          </a:r>
          <a:r>
            <a:rPr lang="en-US" sz="900" b="1">
              <a:latin typeface="Arial" pitchFamily="34" charset="0"/>
              <a:cs typeface="Arial" pitchFamily="34" charset="0"/>
            </a:rPr>
            <a:t> USD</a:t>
          </a:r>
          <a:r>
            <a:rPr lang="ar-SA" sz="900" b="1">
              <a:latin typeface="Arial" pitchFamily="34" charset="0"/>
              <a:cs typeface="Arial" pitchFamily="34" charset="0"/>
            </a:rPr>
            <a:t> </a:t>
          </a:r>
          <a:r>
            <a:rPr lang="en-US" sz="900" b="1">
              <a:latin typeface="Arial" pitchFamily="34" charset="0"/>
              <a:cs typeface="Arial" pitchFamily="34" charset="0"/>
            </a:rPr>
            <a:t>1,535</a:t>
          </a:r>
          <a:r>
            <a:rPr lang="ar-SA" sz="900" b="1">
              <a:latin typeface="Arial" pitchFamily="34" charset="0"/>
              <a:cs typeface="Arial" pitchFamily="34" charset="0"/>
            </a:rPr>
            <a:t> </a:t>
          </a:r>
          <a:r>
            <a:rPr lang="en-US" sz="900" b="1">
              <a:latin typeface="Arial" pitchFamily="34" charset="0"/>
              <a:cs typeface="Arial" pitchFamily="34" charset="0"/>
            </a:rPr>
            <a:t>million</a:t>
          </a:r>
          <a:endParaRPr lang="ar-SA" sz="900" b="1">
            <a:latin typeface="Arial" pitchFamily="34" charset="0"/>
            <a:cs typeface="Arial" pitchFamily="34" charset="0"/>
          </a:endParaRPr>
        </a:p>
      </dgm:t>
    </dgm:pt>
    <dgm:pt modelId="{C0BB4B60-B070-47C2-8026-8728966CDBC3}" type="parTrans" cxnId="{8A73339E-6EEC-4556-9066-882560E19BB5}">
      <dgm:prSet/>
      <dgm:spPr/>
      <dgm:t>
        <a:bodyPr/>
        <a:lstStyle/>
        <a:p>
          <a:pPr rtl="1"/>
          <a:endParaRPr lang="ar-SA"/>
        </a:p>
      </dgm:t>
    </dgm:pt>
    <dgm:pt modelId="{5974EE93-5462-4F4E-8745-D161DBCCA085}" type="sibTrans" cxnId="{8A73339E-6EEC-4556-9066-882560E19BB5}">
      <dgm:prSet/>
      <dgm:spPr/>
      <dgm:t>
        <a:bodyPr/>
        <a:lstStyle/>
        <a:p>
          <a:pPr rtl="1"/>
          <a:endParaRPr lang="ar-SA"/>
        </a:p>
      </dgm:t>
    </dgm:pt>
    <dgm:pt modelId="{1BC8D78A-68BA-4886-9FF4-2963C60D3FF2}">
      <dgm:prSet phldrT="[Text]" custT="1"/>
      <dgm:spPr/>
      <dgm:t>
        <a:bodyPr/>
        <a:lstStyle/>
        <a:p>
          <a:pPr rtl="0"/>
          <a:r>
            <a:rPr lang="en-GB" sz="900" b="1">
              <a:latin typeface="Arial" pitchFamily="34" charset="0"/>
              <a:cs typeface="Arial" pitchFamily="34" charset="0"/>
            </a:rPr>
            <a:t>Banks  </a:t>
          </a:r>
        </a:p>
        <a:p>
          <a:pPr rtl="0"/>
          <a:r>
            <a:rPr lang="en-GB" sz="900" b="1">
              <a:latin typeface="Arial" pitchFamily="34" charset="0"/>
              <a:cs typeface="Arial" pitchFamily="34" charset="0"/>
            </a:rPr>
            <a:t>USD</a:t>
          </a:r>
          <a:r>
            <a:rPr lang="ar-SA" sz="900" b="1">
              <a:latin typeface="Arial" pitchFamily="34" charset="0"/>
              <a:cs typeface="Arial" pitchFamily="34" charset="0"/>
            </a:rPr>
            <a:t> 417 </a:t>
          </a:r>
          <a:r>
            <a:rPr lang="en-US" sz="900" b="1">
              <a:latin typeface="Arial" pitchFamily="34" charset="0"/>
              <a:cs typeface="Arial" pitchFamily="34" charset="0"/>
            </a:rPr>
            <a:t>million </a:t>
          </a:r>
          <a:endParaRPr lang="ar-SA" sz="900" b="1">
            <a:latin typeface="Arial" pitchFamily="34" charset="0"/>
            <a:cs typeface="Arial" pitchFamily="34" charset="0"/>
          </a:endParaRPr>
        </a:p>
      </dgm:t>
    </dgm:pt>
    <dgm:pt modelId="{ACF2A9E6-1F7D-4E29-98B6-326F2E6FC5CF}" type="parTrans" cxnId="{56FEC0DB-AAAB-4B51-87C3-9DFF8AF7C966}">
      <dgm:prSet/>
      <dgm:spPr/>
      <dgm:t>
        <a:bodyPr/>
        <a:lstStyle/>
        <a:p>
          <a:pPr rtl="1"/>
          <a:endParaRPr lang="ar-SA"/>
        </a:p>
      </dgm:t>
    </dgm:pt>
    <dgm:pt modelId="{9CA12ABD-BBB8-4A87-854D-D8655BD0C50B}" type="sibTrans" cxnId="{56FEC0DB-AAAB-4B51-87C3-9DFF8AF7C966}">
      <dgm:prSet/>
      <dgm:spPr/>
      <dgm:t>
        <a:bodyPr/>
        <a:lstStyle/>
        <a:p>
          <a:pPr rtl="1"/>
          <a:endParaRPr lang="ar-SA"/>
        </a:p>
      </dgm:t>
    </dgm:pt>
    <dgm:pt modelId="{C51E8B92-AED2-4AE1-9869-C17BBBCAAB2D}">
      <dgm:prSet phldrT="[Text]" custT="1"/>
      <dgm:spPr/>
      <dgm:t>
        <a:bodyPr/>
        <a:lstStyle/>
        <a:p>
          <a:pPr rtl="0"/>
          <a:r>
            <a:rPr lang="en-GB" sz="900" b="1">
              <a:latin typeface="Arial" pitchFamily="34" charset="0"/>
              <a:cs typeface="Arial" pitchFamily="34" charset="0"/>
            </a:rPr>
            <a:t>Central Government</a:t>
          </a:r>
          <a:r>
            <a:rPr lang="en-US" sz="900" b="1">
              <a:latin typeface="Arial" pitchFamily="34" charset="0"/>
              <a:cs typeface="Arial" pitchFamily="34" charset="0"/>
            </a:rPr>
            <a:t> USD</a:t>
          </a:r>
          <a:r>
            <a:rPr lang="ar-SA" sz="900" b="1">
              <a:latin typeface="Arial" pitchFamily="34" charset="0"/>
              <a:cs typeface="Arial" pitchFamily="34" charset="0"/>
            </a:rPr>
            <a:t> </a:t>
          </a:r>
          <a:r>
            <a:rPr lang="en-US" sz="900" b="1">
              <a:latin typeface="Arial" pitchFamily="34" charset="0"/>
              <a:cs typeface="Arial" pitchFamily="34" charset="0"/>
            </a:rPr>
            <a:t>1,032</a:t>
          </a:r>
          <a:r>
            <a:rPr lang="ar-SA" sz="900" b="1">
              <a:latin typeface="Arial" pitchFamily="34" charset="0"/>
              <a:cs typeface="Arial" pitchFamily="34" charset="0"/>
            </a:rPr>
            <a:t> </a:t>
          </a:r>
          <a:r>
            <a:rPr lang="en-US" sz="900" b="1">
              <a:latin typeface="Arial" pitchFamily="34" charset="0"/>
              <a:cs typeface="Arial" pitchFamily="34" charset="0"/>
            </a:rPr>
            <a:t>million</a:t>
          </a:r>
          <a:endParaRPr lang="ar-SA" sz="900" b="1">
            <a:latin typeface="Arial" pitchFamily="34" charset="0"/>
            <a:cs typeface="Arial" pitchFamily="34" charset="0"/>
          </a:endParaRPr>
        </a:p>
      </dgm:t>
    </dgm:pt>
    <dgm:pt modelId="{769CF6F9-047B-4996-ABE2-27BCDCB9443A}" type="parTrans" cxnId="{6E11ABD9-CE65-423D-97BC-20897E76D487}">
      <dgm:prSet/>
      <dgm:spPr/>
      <dgm:t>
        <a:bodyPr/>
        <a:lstStyle/>
        <a:p>
          <a:pPr rtl="1"/>
          <a:endParaRPr lang="ar-SA"/>
        </a:p>
      </dgm:t>
    </dgm:pt>
    <dgm:pt modelId="{CA8118B1-1B1B-4D25-B106-D98F71AC3503}" type="sibTrans" cxnId="{6E11ABD9-CE65-423D-97BC-20897E76D487}">
      <dgm:prSet/>
      <dgm:spPr/>
      <dgm:t>
        <a:bodyPr/>
        <a:lstStyle/>
        <a:p>
          <a:pPr rtl="1"/>
          <a:endParaRPr lang="ar-SA"/>
        </a:p>
      </dgm:t>
    </dgm:pt>
    <dgm:pt modelId="{8E2F3659-4E04-4648-892D-DA2F108B4A02}">
      <dgm:prSet phldrT="[Text]" custT="1"/>
      <dgm:spPr/>
      <dgm:t>
        <a:bodyPr/>
        <a:lstStyle/>
        <a:p>
          <a:pPr rtl="0"/>
          <a:r>
            <a:rPr lang="en-GB" sz="900" b="1">
              <a:latin typeface="Arial" pitchFamily="34" charset="0"/>
              <a:cs typeface="Arial" pitchFamily="34" charset="0"/>
            </a:rPr>
            <a:t>Other </a:t>
          </a:r>
        </a:p>
        <a:p>
          <a:pPr rtl="0"/>
          <a:r>
            <a:rPr lang="en-US" sz="900" b="1">
              <a:latin typeface="Arial" pitchFamily="34" charset="0"/>
              <a:cs typeface="Arial" pitchFamily="34" charset="0"/>
            </a:rPr>
            <a:t>USD</a:t>
          </a:r>
          <a:r>
            <a:rPr lang="ar-SA" sz="900" b="1">
              <a:latin typeface="Arial" pitchFamily="34" charset="0"/>
              <a:cs typeface="Arial" pitchFamily="34" charset="0"/>
            </a:rPr>
            <a:t>86  </a:t>
          </a:r>
          <a:r>
            <a:rPr lang="en-US" sz="900" b="1">
              <a:latin typeface="Arial" pitchFamily="34" charset="0"/>
              <a:cs typeface="Arial" pitchFamily="34" charset="0"/>
            </a:rPr>
            <a:t> million</a:t>
          </a:r>
          <a:endParaRPr lang="ar-SA" sz="900" b="1">
            <a:latin typeface="Arial" pitchFamily="34" charset="0"/>
            <a:cs typeface="Arial" pitchFamily="34" charset="0"/>
          </a:endParaRPr>
        </a:p>
      </dgm:t>
    </dgm:pt>
    <dgm:pt modelId="{D66DB013-EE2B-4469-898C-AC3BB817BBAC}" type="parTrans" cxnId="{C1868172-9F84-4A5F-B569-DBBCF724E78E}">
      <dgm:prSet/>
      <dgm:spPr/>
      <dgm:t>
        <a:bodyPr/>
        <a:lstStyle/>
        <a:p>
          <a:pPr rtl="1"/>
          <a:endParaRPr lang="ar-SA"/>
        </a:p>
      </dgm:t>
    </dgm:pt>
    <dgm:pt modelId="{62480ACA-7769-4DEB-88D0-CB7E44F90C00}" type="sibTrans" cxnId="{C1868172-9F84-4A5F-B569-DBBCF724E78E}">
      <dgm:prSet/>
      <dgm:spPr/>
      <dgm:t>
        <a:bodyPr/>
        <a:lstStyle/>
        <a:p>
          <a:pPr rtl="1"/>
          <a:endParaRPr lang="ar-SA"/>
        </a:p>
      </dgm:t>
    </dgm:pt>
    <dgm:pt modelId="{6A2A2B3C-7BC9-4B2A-819B-8BB4534E5EF9}" type="pres">
      <dgm:prSet presAssocID="{E0C7682C-3259-4712-A32F-96154291C397}" presName="cycle" presStyleCnt="0">
        <dgm:presLayoutVars>
          <dgm:chMax val="1"/>
          <dgm:dir/>
          <dgm:animLvl val="ctr"/>
          <dgm:resizeHandles val="exact"/>
        </dgm:presLayoutVars>
      </dgm:prSet>
      <dgm:spPr/>
      <dgm:t>
        <a:bodyPr/>
        <a:lstStyle/>
        <a:p>
          <a:endParaRPr lang="en-GB"/>
        </a:p>
      </dgm:t>
    </dgm:pt>
    <dgm:pt modelId="{0316E99F-373A-4355-943B-6AD98189904B}" type="pres">
      <dgm:prSet presAssocID="{D49DD077-37CA-4D20-B5A7-85CC1D06C300}" presName="centerShape" presStyleLbl="node0" presStyleIdx="0" presStyleCnt="1" custScaleX="188145" custScaleY="51250"/>
      <dgm:spPr>
        <a:prstGeom prst="rect">
          <a:avLst/>
        </a:prstGeom>
      </dgm:spPr>
      <dgm:t>
        <a:bodyPr/>
        <a:lstStyle/>
        <a:p>
          <a:pPr rtl="1"/>
          <a:endParaRPr lang="ar-SA"/>
        </a:p>
      </dgm:t>
    </dgm:pt>
    <dgm:pt modelId="{26121873-4A7D-4704-B448-9DF962B5D311}" type="pres">
      <dgm:prSet presAssocID="{ACF2A9E6-1F7D-4E29-98B6-326F2E6FC5CF}" presName="parTrans" presStyleLbl="bgSibTrans2D1" presStyleIdx="0" presStyleCnt="3"/>
      <dgm:spPr/>
      <dgm:t>
        <a:bodyPr/>
        <a:lstStyle/>
        <a:p>
          <a:endParaRPr lang="en-GB"/>
        </a:p>
      </dgm:t>
    </dgm:pt>
    <dgm:pt modelId="{51CF5838-B757-43B4-B113-E2770AC56687}" type="pres">
      <dgm:prSet presAssocID="{1BC8D78A-68BA-4886-9FF4-2963C60D3FF2}" presName="node" presStyleLbl="node1" presStyleIdx="0" presStyleCnt="3" custScaleX="113790" custScaleY="132567">
        <dgm:presLayoutVars>
          <dgm:bulletEnabled val="1"/>
        </dgm:presLayoutVars>
      </dgm:prSet>
      <dgm:spPr>
        <a:prstGeom prst="ellipse">
          <a:avLst/>
        </a:prstGeom>
      </dgm:spPr>
      <dgm:t>
        <a:bodyPr/>
        <a:lstStyle/>
        <a:p>
          <a:pPr rtl="1"/>
          <a:endParaRPr lang="ar-SA"/>
        </a:p>
      </dgm:t>
    </dgm:pt>
    <dgm:pt modelId="{8C841B95-C202-4D08-BCF5-7FD0BC200FCD}" type="pres">
      <dgm:prSet presAssocID="{769CF6F9-047B-4996-ABE2-27BCDCB9443A}" presName="parTrans" presStyleLbl="bgSibTrans2D1" presStyleIdx="1" presStyleCnt="3" custScaleX="111137"/>
      <dgm:spPr/>
      <dgm:t>
        <a:bodyPr/>
        <a:lstStyle/>
        <a:p>
          <a:endParaRPr lang="en-GB"/>
        </a:p>
      </dgm:t>
    </dgm:pt>
    <dgm:pt modelId="{0707A91C-1221-44BD-ADBD-9EB3B6622D89}" type="pres">
      <dgm:prSet presAssocID="{C51E8B92-AED2-4AE1-9869-C17BBBCAAB2D}" presName="node" presStyleLbl="node1" presStyleIdx="1" presStyleCnt="3" custScaleX="125609" custScaleY="143559">
        <dgm:presLayoutVars>
          <dgm:bulletEnabled val="1"/>
        </dgm:presLayoutVars>
      </dgm:prSet>
      <dgm:spPr>
        <a:prstGeom prst="ellipse">
          <a:avLst/>
        </a:prstGeom>
      </dgm:spPr>
      <dgm:t>
        <a:bodyPr/>
        <a:lstStyle/>
        <a:p>
          <a:pPr rtl="1"/>
          <a:endParaRPr lang="ar-SA"/>
        </a:p>
      </dgm:t>
    </dgm:pt>
    <dgm:pt modelId="{FC2F41E9-C07B-4E9C-9D72-03AA9DCF2291}" type="pres">
      <dgm:prSet presAssocID="{D66DB013-EE2B-4469-898C-AC3BB817BBAC}" presName="parTrans" presStyleLbl="bgSibTrans2D1" presStyleIdx="2" presStyleCnt="3"/>
      <dgm:spPr/>
      <dgm:t>
        <a:bodyPr/>
        <a:lstStyle/>
        <a:p>
          <a:endParaRPr lang="en-GB"/>
        </a:p>
      </dgm:t>
    </dgm:pt>
    <dgm:pt modelId="{E6EDB086-D24F-4EE8-A9EE-6F0CC75542C1}" type="pres">
      <dgm:prSet presAssocID="{8E2F3659-4E04-4648-892D-DA2F108B4A02}" presName="node" presStyleLbl="node1" presStyleIdx="2" presStyleCnt="3" custScaleX="98434" custScaleY="135014">
        <dgm:presLayoutVars>
          <dgm:bulletEnabled val="1"/>
        </dgm:presLayoutVars>
      </dgm:prSet>
      <dgm:spPr>
        <a:prstGeom prst="ellipse">
          <a:avLst/>
        </a:prstGeom>
      </dgm:spPr>
      <dgm:t>
        <a:bodyPr/>
        <a:lstStyle/>
        <a:p>
          <a:pPr rtl="1"/>
          <a:endParaRPr lang="ar-SA"/>
        </a:p>
      </dgm:t>
    </dgm:pt>
  </dgm:ptLst>
  <dgm:cxnLst>
    <dgm:cxn modelId="{0CE059CB-60FE-4AA9-82C8-B9A166A888AE}" type="presOf" srcId="{769CF6F9-047B-4996-ABE2-27BCDCB9443A}" destId="{8C841B95-C202-4D08-BCF5-7FD0BC200FCD}" srcOrd="0" destOrd="0" presId="urn:microsoft.com/office/officeart/2005/8/layout/radial4"/>
    <dgm:cxn modelId="{6BB76DE2-5C4A-4D46-AC0F-D279BA9BC03B}" type="presOf" srcId="{8E2F3659-4E04-4648-892D-DA2F108B4A02}" destId="{E6EDB086-D24F-4EE8-A9EE-6F0CC75542C1}" srcOrd="0" destOrd="0" presId="urn:microsoft.com/office/officeart/2005/8/layout/radial4"/>
    <dgm:cxn modelId="{4FF728B1-FB44-46F6-B8B4-F956F019B378}" type="presOf" srcId="{D66DB013-EE2B-4469-898C-AC3BB817BBAC}" destId="{FC2F41E9-C07B-4E9C-9D72-03AA9DCF2291}" srcOrd="0" destOrd="0" presId="urn:microsoft.com/office/officeart/2005/8/layout/radial4"/>
    <dgm:cxn modelId="{8A73339E-6EEC-4556-9066-882560E19BB5}" srcId="{E0C7682C-3259-4712-A32F-96154291C397}" destId="{D49DD077-37CA-4D20-B5A7-85CC1D06C300}" srcOrd="0" destOrd="0" parTransId="{C0BB4B60-B070-47C2-8026-8728966CDBC3}" sibTransId="{5974EE93-5462-4F4E-8745-D161DBCCA085}"/>
    <dgm:cxn modelId="{F90C2372-AEB7-4041-8AF4-4878CE3B9B8A}" type="presOf" srcId="{E0C7682C-3259-4712-A32F-96154291C397}" destId="{6A2A2B3C-7BC9-4B2A-819B-8BB4534E5EF9}" srcOrd="0" destOrd="0" presId="urn:microsoft.com/office/officeart/2005/8/layout/radial4"/>
    <dgm:cxn modelId="{6E11ABD9-CE65-423D-97BC-20897E76D487}" srcId="{D49DD077-37CA-4D20-B5A7-85CC1D06C300}" destId="{C51E8B92-AED2-4AE1-9869-C17BBBCAAB2D}" srcOrd="1" destOrd="0" parTransId="{769CF6F9-047B-4996-ABE2-27BCDCB9443A}" sibTransId="{CA8118B1-1B1B-4D25-B106-D98F71AC3503}"/>
    <dgm:cxn modelId="{21AE09F5-12BA-436D-8A6F-C089F638552C}" type="presOf" srcId="{C51E8B92-AED2-4AE1-9869-C17BBBCAAB2D}" destId="{0707A91C-1221-44BD-ADBD-9EB3B6622D89}" srcOrd="0" destOrd="0" presId="urn:microsoft.com/office/officeart/2005/8/layout/radial4"/>
    <dgm:cxn modelId="{AD894C30-09A9-4B81-9A70-315A7544E1BC}" type="presOf" srcId="{D49DD077-37CA-4D20-B5A7-85CC1D06C300}" destId="{0316E99F-373A-4355-943B-6AD98189904B}" srcOrd="0" destOrd="0" presId="urn:microsoft.com/office/officeart/2005/8/layout/radial4"/>
    <dgm:cxn modelId="{C1868172-9F84-4A5F-B569-DBBCF724E78E}" srcId="{D49DD077-37CA-4D20-B5A7-85CC1D06C300}" destId="{8E2F3659-4E04-4648-892D-DA2F108B4A02}" srcOrd="2" destOrd="0" parTransId="{D66DB013-EE2B-4469-898C-AC3BB817BBAC}" sibTransId="{62480ACA-7769-4DEB-88D0-CB7E44F90C00}"/>
    <dgm:cxn modelId="{36746684-9455-461A-88DC-600C6FC844A4}" type="presOf" srcId="{ACF2A9E6-1F7D-4E29-98B6-326F2E6FC5CF}" destId="{26121873-4A7D-4704-B448-9DF962B5D311}" srcOrd="0" destOrd="0" presId="urn:microsoft.com/office/officeart/2005/8/layout/radial4"/>
    <dgm:cxn modelId="{24394FCF-9638-4025-97F0-B89AA98161D3}" type="presOf" srcId="{1BC8D78A-68BA-4886-9FF4-2963C60D3FF2}" destId="{51CF5838-B757-43B4-B113-E2770AC56687}" srcOrd="0" destOrd="0" presId="urn:microsoft.com/office/officeart/2005/8/layout/radial4"/>
    <dgm:cxn modelId="{56FEC0DB-AAAB-4B51-87C3-9DFF8AF7C966}" srcId="{D49DD077-37CA-4D20-B5A7-85CC1D06C300}" destId="{1BC8D78A-68BA-4886-9FF4-2963C60D3FF2}" srcOrd="0" destOrd="0" parTransId="{ACF2A9E6-1F7D-4E29-98B6-326F2E6FC5CF}" sibTransId="{9CA12ABD-BBB8-4A87-854D-D8655BD0C50B}"/>
    <dgm:cxn modelId="{B9B08899-EC8C-4D71-AB92-96AD5CEDE7A9}" type="presParOf" srcId="{6A2A2B3C-7BC9-4B2A-819B-8BB4534E5EF9}" destId="{0316E99F-373A-4355-943B-6AD98189904B}" srcOrd="0" destOrd="0" presId="urn:microsoft.com/office/officeart/2005/8/layout/radial4"/>
    <dgm:cxn modelId="{6483607F-5B3E-4784-968A-9C71E38386BE}" type="presParOf" srcId="{6A2A2B3C-7BC9-4B2A-819B-8BB4534E5EF9}" destId="{26121873-4A7D-4704-B448-9DF962B5D311}" srcOrd="1" destOrd="0" presId="urn:microsoft.com/office/officeart/2005/8/layout/radial4"/>
    <dgm:cxn modelId="{1E0D905F-E88A-492C-A877-42C43745BAE4}" type="presParOf" srcId="{6A2A2B3C-7BC9-4B2A-819B-8BB4534E5EF9}" destId="{51CF5838-B757-43B4-B113-E2770AC56687}" srcOrd="2" destOrd="0" presId="urn:microsoft.com/office/officeart/2005/8/layout/radial4"/>
    <dgm:cxn modelId="{C93A5018-75AE-4B7B-AD78-7C4395BC8B12}" type="presParOf" srcId="{6A2A2B3C-7BC9-4B2A-819B-8BB4534E5EF9}" destId="{8C841B95-C202-4D08-BCF5-7FD0BC200FCD}" srcOrd="3" destOrd="0" presId="urn:microsoft.com/office/officeart/2005/8/layout/radial4"/>
    <dgm:cxn modelId="{EC6A038B-DBB7-48CA-A0EC-A331FEC8BC0B}" type="presParOf" srcId="{6A2A2B3C-7BC9-4B2A-819B-8BB4534E5EF9}" destId="{0707A91C-1221-44BD-ADBD-9EB3B6622D89}" srcOrd="4" destOrd="0" presId="urn:microsoft.com/office/officeart/2005/8/layout/radial4"/>
    <dgm:cxn modelId="{B67032AB-EB85-4DE5-99ED-A1AAC66BB826}" type="presParOf" srcId="{6A2A2B3C-7BC9-4B2A-819B-8BB4534E5EF9}" destId="{FC2F41E9-C07B-4E9C-9D72-03AA9DCF2291}" srcOrd="5" destOrd="0" presId="urn:microsoft.com/office/officeart/2005/8/layout/radial4"/>
    <dgm:cxn modelId="{4E88A838-23A7-475A-8329-B09B6EA3321D}" type="presParOf" srcId="{6A2A2B3C-7BC9-4B2A-819B-8BB4534E5EF9}" destId="{E6EDB086-D24F-4EE8-A9EE-6F0CC75542C1}" srcOrd="6" destOrd="0" presId="urn:microsoft.com/office/officeart/2005/8/layout/radial4"/>
  </dgm:cxnLst>
  <dgm:bg/>
  <dgm:whole/>
  <dgm:extLst>
    <a:ext uri="http://schemas.microsoft.com/office/drawing/2008/diagram">
      <dsp:dataModelExt xmlns:dsp="http://schemas.microsoft.com/office/drawing/2008/diagram" xmlns="" relId="rId6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7575629-D2D3-4F95-AC38-5FD632E7DFC0}">
      <dsp:nvSpPr>
        <dsp:cNvPr id="0" name=""/>
        <dsp:cNvSpPr/>
      </dsp:nvSpPr>
      <dsp:spPr>
        <a:xfrm>
          <a:off x="229966" y="52387"/>
          <a:ext cx="1553337" cy="862965"/>
        </a:xfrm>
        <a:prstGeom prst="roundRect">
          <a:avLst>
            <a:gd name="adj" fmla="val 10000"/>
          </a:avLst>
        </a:prstGeom>
        <a:solidFill>
          <a:srgbClr val="BE4B48">
            <a:alpha val="90000"/>
          </a:srgb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GB" sz="900" b="1" kern="1200">
              <a:solidFill>
                <a:schemeClr val="bg1"/>
              </a:solidFill>
              <a:latin typeface="Arial" pitchFamily="34" charset="0"/>
              <a:cs typeface="Arial" pitchFamily="34" charset="0"/>
            </a:rPr>
            <a:t>Total public revenues (net)</a:t>
          </a:r>
          <a:r>
            <a:rPr lang="en-US" sz="900" b="1" kern="1200">
              <a:solidFill>
                <a:schemeClr val="bg1"/>
              </a:solidFill>
              <a:latin typeface="Arial" pitchFamily="34" charset="0"/>
              <a:cs typeface="Arial" pitchFamily="34" charset="0"/>
            </a:rPr>
            <a:t> USD</a:t>
          </a:r>
          <a:r>
            <a:rPr lang="en-GB" sz="900" b="1" kern="1200">
              <a:solidFill>
                <a:schemeClr val="bg1"/>
              </a:solidFill>
              <a:latin typeface="Arial" pitchFamily="34" charset="0"/>
              <a:cs typeface="Arial" pitchFamily="34" charset="0"/>
            </a:rPr>
            <a:t> 3</a:t>
          </a:r>
          <a:r>
            <a:rPr lang="en-US" sz="900" b="1" kern="1200">
              <a:solidFill>
                <a:schemeClr val="bg1"/>
              </a:solidFill>
              <a:latin typeface="Arial" pitchFamily="34" charset="0"/>
              <a:cs typeface="Arial" pitchFamily="34" charset="0"/>
            </a:rPr>
            <a:t>,</a:t>
          </a:r>
          <a:r>
            <a:rPr lang="en-GB" sz="900" b="1" kern="1200">
              <a:solidFill>
                <a:schemeClr val="bg1"/>
              </a:solidFill>
              <a:latin typeface="Arial" pitchFamily="34" charset="0"/>
              <a:cs typeface="Arial" pitchFamily="34" charset="0"/>
            </a:rPr>
            <a:t>433</a:t>
          </a:r>
          <a:r>
            <a:rPr lang="en-US" sz="900" b="1" kern="1200">
              <a:solidFill>
                <a:schemeClr val="bg1"/>
              </a:solidFill>
              <a:latin typeface="Arial" pitchFamily="34" charset="0"/>
              <a:cs typeface="Arial" pitchFamily="34" charset="0"/>
            </a:rPr>
            <a:t> million</a:t>
          </a:r>
          <a:endParaRPr lang="ar-SA" sz="900" b="1" kern="1200">
            <a:solidFill>
              <a:schemeClr val="bg1"/>
            </a:solidFill>
            <a:latin typeface="Arial" pitchFamily="34" charset="0"/>
            <a:cs typeface="Arial" pitchFamily="34" charset="0"/>
          </a:endParaRPr>
        </a:p>
      </dsp:txBody>
      <dsp:txXfrm>
        <a:off x="229966" y="52387"/>
        <a:ext cx="1553337" cy="862965"/>
      </dsp:txXfrm>
    </dsp:sp>
    <dsp:sp modelId="{54C941AA-B0F8-4097-B029-A26EBAAD7A86}">
      <dsp:nvSpPr>
        <dsp:cNvPr id="0" name=""/>
        <dsp:cNvSpPr/>
      </dsp:nvSpPr>
      <dsp:spPr>
        <a:xfrm>
          <a:off x="2415829" y="52387"/>
          <a:ext cx="1669029" cy="862965"/>
        </a:xfrm>
        <a:prstGeom prst="roundRect">
          <a:avLst>
            <a:gd name="adj" fmla="val 10000"/>
          </a:avLst>
        </a:prstGeom>
        <a:solidFill>
          <a:srgbClr val="4F81BD">
            <a:alpha val="90000"/>
          </a:srgb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GB" sz="900" b="1" kern="1200">
              <a:solidFill>
                <a:schemeClr val="bg1"/>
              </a:solidFill>
              <a:latin typeface="Arial" pitchFamily="34" charset="0"/>
              <a:cs typeface="Arial" pitchFamily="34" charset="0"/>
            </a:rPr>
            <a:t>Current expenditures and net lending</a:t>
          </a:r>
          <a:r>
            <a:rPr lang="en-US" sz="900" b="1" kern="1200">
              <a:solidFill>
                <a:schemeClr val="bg1"/>
              </a:solidFill>
              <a:latin typeface="Arial" pitchFamily="34" charset="0"/>
              <a:cs typeface="Arial" pitchFamily="34" charset="0"/>
            </a:rPr>
            <a:t> USD </a:t>
          </a:r>
          <a:r>
            <a:rPr lang="en-GB" sz="900" b="1" kern="1200">
              <a:solidFill>
                <a:schemeClr val="bg1"/>
              </a:solidFill>
              <a:latin typeface="Arial" pitchFamily="34" charset="0"/>
              <a:cs typeface="Arial" pitchFamily="34" charset="0"/>
            </a:rPr>
            <a:t>4</a:t>
          </a:r>
          <a:r>
            <a:rPr lang="en-US" sz="900" b="1" kern="1200">
              <a:solidFill>
                <a:schemeClr val="bg1"/>
              </a:solidFill>
              <a:latin typeface="Arial" pitchFamily="34" charset="0"/>
              <a:cs typeface="Arial" pitchFamily="34" charset="0"/>
            </a:rPr>
            <a:t>,</a:t>
          </a:r>
          <a:r>
            <a:rPr lang="en-GB" sz="900" b="1" kern="1200">
              <a:solidFill>
                <a:schemeClr val="bg1"/>
              </a:solidFill>
              <a:latin typeface="Arial" pitchFamily="34" charset="0"/>
              <a:cs typeface="Arial" pitchFamily="34" charset="0"/>
            </a:rPr>
            <a:t>154</a:t>
          </a:r>
          <a:r>
            <a:rPr lang="en-US" sz="900" b="1" kern="1200">
              <a:solidFill>
                <a:schemeClr val="bg1"/>
              </a:solidFill>
              <a:latin typeface="Arial" pitchFamily="34" charset="0"/>
              <a:cs typeface="Arial" pitchFamily="34" charset="0"/>
            </a:rPr>
            <a:t> million</a:t>
          </a:r>
          <a:endParaRPr lang="ar-SA" sz="900" b="1" kern="1200">
            <a:solidFill>
              <a:schemeClr val="bg1"/>
            </a:solidFill>
            <a:latin typeface="Arial" pitchFamily="34" charset="0"/>
            <a:cs typeface="Arial" pitchFamily="34" charset="0"/>
          </a:endParaRPr>
        </a:p>
      </dsp:txBody>
      <dsp:txXfrm>
        <a:off x="2415829" y="52387"/>
        <a:ext cx="1669029" cy="862965"/>
      </dsp:txXfrm>
    </dsp:sp>
    <dsp:sp modelId="{2444A4B5-8DAC-41F4-90B7-E5BDF02B7CF2}">
      <dsp:nvSpPr>
        <dsp:cNvPr id="0" name=""/>
        <dsp:cNvSpPr/>
      </dsp:nvSpPr>
      <dsp:spPr>
        <a:xfrm>
          <a:off x="1833800" y="3719988"/>
          <a:ext cx="647223" cy="647223"/>
        </a:xfrm>
        <a:prstGeom prst="triangle">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85FBBF72-2D31-4A66-9D59-D364A2611010}">
      <dsp:nvSpPr>
        <dsp:cNvPr id="0" name=""/>
        <dsp:cNvSpPr/>
      </dsp:nvSpPr>
      <dsp:spPr>
        <a:xfrm rot="240000">
          <a:off x="215148" y="3442646"/>
          <a:ext cx="3884528" cy="271632"/>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E9A7B901-5D8D-4858-B937-489F7436E57C}">
      <dsp:nvSpPr>
        <dsp:cNvPr id="0" name=""/>
        <dsp:cNvSpPr/>
      </dsp:nvSpPr>
      <dsp:spPr>
        <a:xfrm rot="240000">
          <a:off x="2551649" y="2953289"/>
          <a:ext cx="1541530" cy="532359"/>
        </a:xfrm>
        <a:prstGeom prst="roundRect">
          <a:avLst/>
        </a:prstGeom>
        <a:solidFill>
          <a:srgbClr val="4F81BD"/>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Non-wages expenditures </a:t>
          </a:r>
          <a:r>
            <a:rPr lang="en-US" sz="900" b="1" kern="1200">
              <a:latin typeface="Arial" pitchFamily="34" charset="0"/>
              <a:cs typeface="Arial" pitchFamily="34" charset="0"/>
            </a:rPr>
            <a:t>USD </a:t>
          </a:r>
          <a:r>
            <a:rPr lang="en-GB" sz="900" b="1" kern="1200">
              <a:latin typeface="Arial" pitchFamily="34" charset="0"/>
              <a:cs typeface="Arial" pitchFamily="34" charset="0"/>
            </a:rPr>
            <a:t>2,007</a:t>
          </a:r>
          <a:r>
            <a:rPr lang="ar-SA" sz="900" b="1" kern="1200">
              <a:latin typeface="Arial" pitchFamily="34" charset="0"/>
              <a:cs typeface="Arial" pitchFamily="34" charset="0"/>
            </a:rPr>
            <a:t> </a:t>
          </a:r>
          <a:r>
            <a:rPr lang="en-US" sz="900" b="1" kern="1200">
              <a:latin typeface="Arial" pitchFamily="34" charset="0"/>
              <a:cs typeface="Arial" pitchFamily="34" charset="0"/>
            </a:rPr>
            <a:t>million</a:t>
          </a:r>
          <a:endParaRPr lang="ar-SA" sz="900" b="1" kern="1200">
            <a:latin typeface="Arial" pitchFamily="34" charset="0"/>
            <a:cs typeface="Arial" pitchFamily="34" charset="0"/>
          </a:endParaRPr>
        </a:p>
      </dsp:txBody>
      <dsp:txXfrm rot="240000">
        <a:off x="2551649" y="2953289"/>
        <a:ext cx="1541530" cy="532359"/>
      </dsp:txXfrm>
    </dsp:sp>
    <dsp:sp modelId="{39DEDC10-DFD3-44F0-8C39-32D4FE9096F3}">
      <dsp:nvSpPr>
        <dsp:cNvPr id="0" name=""/>
        <dsp:cNvSpPr/>
      </dsp:nvSpPr>
      <dsp:spPr>
        <a:xfrm rot="240000">
          <a:off x="2594798" y="2383732"/>
          <a:ext cx="1541530" cy="532359"/>
        </a:xfrm>
        <a:prstGeom prst="roundRect">
          <a:avLst/>
        </a:prstGeom>
        <a:solidFill>
          <a:srgbClr val="4F81BD"/>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Wages</a:t>
          </a:r>
          <a:r>
            <a:rPr lang="en-GB" sz="900" kern="1200">
              <a:latin typeface="Arial" pitchFamily="34" charset="0"/>
              <a:cs typeface="Arial" pitchFamily="34" charset="0"/>
            </a:rPr>
            <a:t> </a:t>
          </a:r>
          <a:r>
            <a:rPr lang="en-GB" sz="900" b="1" kern="1200">
              <a:latin typeface="Arial" pitchFamily="34" charset="0"/>
              <a:cs typeface="Arial" pitchFamily="34" charset="0"/>
            </a:rPr>
            <a:t>and</a:t>
          </a:r>
          <a:r>
            <a:rPr lang="en-GB" sz="900" kern="1200">
              <a:latin typeface="Arial" pitchFamily="34" charset="0"/>
              <a:cs typeface="Arial" pitchFamily="34" charset="0"/>
            </a:rPr>
            <a:t> </a:t>
          </a:r>
          <a:r>
            <a:rPr lang="en-GB" sz="900" b="1" kern="1200">
              <a:latin typeface="Arial" pitchFamily="34" charset="0"/>
              <a:cs typeface="Arial" pitchFamily="34" charset="0"/>
            </a:rPr>
            <a:t>salaries</a:t>
          </a:r>
          <a:r>
            <a:rPr lang="en-US" sz="900" kern="1200">
              <a:latin typeface="Arial" pitchFamily="34" charset="0"/>
              <a:cs typeface="Arial" pitchFamily="34" charset="0"/>
            </a:rPr>
            <a:t> </a:t>
          </a:r>
          <a:r>
            <a:rPr lang="en-US" sz="900" b="1" kern="1200">
              <a:latin typeface="Arial" pitchFamily="34" charset="0"/>
              <a:cs typeface="Arial" pitchFamily="34" charset="0"/>
            </a:rPr>
            <a:t>USD </a:t>
          </a:r>
          <a:r>
            <a:rPr lang="en-GB" sz="900" b="1" kern="1200">
              <a:latin typeface="Arial" pitchFamily="34" charset="0"/>
              <a:cs typeface="Arial" pitchFamily="34" charset="0"/>
            </a:rPr>
            <a:t>1,799</a:t>
          </a:r>
          <a:r>
            <a:rPr lang="en-US" sz="900" b="1" kern="1200">
              <a:latin typeface="Arial" pitchFamily="34" charset="0"/>
              <a:cs typeface="Arial" pitchFamily="34" charset="0"/>
            </a:rPr>
            <a:t> million</a:t>
          </a:r>
          <a:endParaRPr lang="ar-SA" sz="900" b="1" kern="1200">
            <a:latin typeface="Arial" pitchFamily="34" charset="0"/>
            <a:cs typeface="Arial" pitchFamily="34" charset="0"/>
          </a:endParaRPr>
        </a:p>
      </dsp:txBody>
      <dsp:txXfrm rot="240000">
        <a:off x="2594798" y="2383732"/>
        <a:ext cx="1541530" cy="532359"/>
      </dsp:txXfrm>
    </dsp:sp>
    <dsp:sp modelId="{E2EAEBB8-6B27-41EC-B8D3-D68CEFC425D7}">
      <dsp:nvSpPr>
        <dsp:cNvPr id="0" name=""/>
        <dsp:cNvSpPr/>
      </dsp:nvSpPr>
      <dsp:spPr>
        <a:xfrm rot="240000">
          <a:off x="2637946" y="1814175"/>
          <a:ext cx="1541530" cy="532359"/>
        </a:xfrm>
        <a:prstGeom prst="roundRect">
          <a:avLst/>
        </a:prstGeom>
        <a:solidFill>
          <a:srgbClr val="4F81BD"/>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US" sz="900" b="1" kern="1200">
              <a:latin typeface="Arial" pitchFamily="34" charset="0"/>
              <a:cs typeface="Arial" pitchFamily="34" charset="0"/>
            </a:rPr>
            <a:t>Net </a:t>
          </a:r>
          <a:r>
            <a:rPr lang="en-GB" sz="900" b="1" kern="1200">
              <a:latin typeface="Arial" pitchFamily="34" charset="0"/>
              <a:cs typeface="Arial" pitchFamily="34" charset="0"/>
            </a:rPr>
            <a:t>lending </a:t>
          </a:r>
          <a:r>
            <a:rPr lang="en-US" sz="900" b="1" kern="1200">
              <a:latin typeface="Arial" pitchFamily="34" charset="0"/>
              <a:cs typeface="Arial" pitchFamily="34" charset="0"/>
            </a:rPr>
            <a:t>USD</a:t>
          </a:r>
          <a:r>
            <a:rPr lang="ar-SA" sz="900" b="1" kern="1200">
              <a:latin typeface="Arial" pitchFamily="34" charset="0"/>
              <a:cs typeface="Arial" pitchFamily="34" charset="0"/>
            </a:rPr>
            <a:t>271 </a:t>
          </a:r>
          <a:r>
            <a:rPr lang="en-US" sz="900" b="1" kern="1200">
              <a:latin typeface="Arial" pitchFamily="34" charset="0"/>
              <a:cs typeface="Arial" pitchFamily="34" charset="0"/>
            </a:rPr>
            <a:t>million</a:t>
          </a:r>
          <a:endParaRPr lang="en-GB" sz="900" b="1" kern="1200">
            <a:latin typeface="Arial" pitchFamily="34" charset="0"/>
            <a:cs typeface="Arial" pitchFamily="34" charset="0"/>
          </a:endParaRPr>
        </a:p>
      </dsp:txBody>
      <dsp:txXfrm rot="240000">
        <a:off x="2637946" y="1814175"/>
        <a:ext cx="1541530" cy="532359"/>
      </dsp:txXfrm>
    </dsp:sp>
    <dsp:sp modelId="{0CE3219A-ABC0-49EA-AD04-581A97630005}">
      <dsp:nvSpPr>
        <dsp:cNvPr id="0" name=""/>
        <dsp:cNvSpPr/>
      </dsp:nvSpPr>
      <dsp:spPr>
        <a:xfrm rot="240000">
          <a:off x="2683215" y="1214287"/>
          <a:ext cx="1537288" cy="593022"/>
        </a:xfrm>
        <a:prstGeom prst="roundRect">
          <a:avLst/>
        </a:prstGeom>
        <a:solidFill>
          <a:srgbClr val="4F81BD"/>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Earmarked payments</a:t>
          </a:r>
          <a:r>
            <a:rPr lang="en-US" sz="900" b="1" kern="1200">
              <a:latin typeface="Arial" pitchFamily="34" charset="0"/>
              <a:cs typeface="Arial" pitchFamily="34" charset="0"/>
            </a:rPr>
            <a:t> USD 77 million</a:t>
          </a:r>
          <a:endParaRPr lang="ar-SA" sz="900" b="1" kern="1200">
            <a:latin typeface="Arial" pitchFamily="34" charset="0"/>
            <a:cs typeface="Arial" pitchFamily="34" charset="0"/>
          </a:endParaRPr>
        </a:p>
      </dsp:txBody>
      <dsp:txXfrm rot="240000">
        <a:off x="2683215" y="1214287"/>
        <a:ext cx="1537288" cy="593022"/>
      </dsp:txXfrm>
    </dsp:sp>
    <dsp:sp modelId="{1156C3DF-5FA0-4033-BC11-9A0465E83311}">
      <dsp:nvSpPr>
        <dsp:cNvPr id="0" name=""/>
        <dsp:cNvSpPr/>
      </dsp:nvSpPr>
      <dsp:spPr>
        <a:xfrm rot="240000">
          <a:off x="307940" y="2797955"/>
          <a:ext cx="1541530" cy="532359"/>
        </a:xfrm>
        <a:prstGeom prst="roundRect">
          <a:avLst/>
        </a:prstGeom>
        <a:solidFill>
          <a:srgbClr val="BE4B48"/>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US" sz="900" b="1" kern="1200">
              <a:latin typeface="Arial" pitchFamily="34" charset="0"/>
              <a:cs typeface="Arial" pitchFamily="34" charset="0"/>
            </a:rPr>
            <a:t> (-)</a:t>
          </a:r>
          <a:r>
            <a:rPr lang="en-GB" sz="900" b="1" kern="1200">
              <a:latin typeface="Arial" pitchFamily="34" charset="0"/>
              <a:cs typeface="Arial" pitchFamily="34" charset="0"/>
            </a:rPr>
            <a:t>Tax refunds</a:t>
          </a:r>
          <a:r>
            <a:rPr lang="ar-SA" sz="900" b="1" kern="1200">
              <a:latin typeface="Arial" pitchFamily="34" charset="0"/>
              <a:cs typeface="Arial" pitchFamily="34" charset="0"/>
            </a:rPr>
            <a:t> </a:t>
          </a:r>
          <a:r>
            <a:rPr lang="en-US" sz="900" b="1" kern="1200">
              <a:latin typeface="Arial" pitchFamily="34" charset="0"/>
              <a:cs typeface="Arial" pitchFamily="34" charset="0"/>
            </a:rPr>
            <a:t> USD 171 million</a:t>
          </a:r>
        </a:p>
      </dsp:txBody>
      <dsp:txXfrm rot="240000">
        <a:off x="307940" y="2797955"/>
        <a:ext cx="1541530" cy="532359"/>
      </dsp:txXfrm>
    </dsp:sp>
    <dsp:sp modelId="{093C0EFC-9695-48AE-BEB4-7D6BC875203C}">
      <dsp:nvSpPr>
        <dsp:cNvPr id="0" name=""/>
        <dsp:cNvSpPr/>
      </dsp:nvSpPr>
      <dsp:spPr>
        <a:xfrm rot="240000">
          <a:off x="351089" y="2228398"/>
          <a:ext cx="1541530" cy="532359"/>
        </a:xfrm>
        <a:prstGeom prst="roundRect">
          <a:avLst/>
        </a:prstGeom>
        <a:solidFill>
          <a:srgbClr val="BE4B48"/>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Clearance revenues USD</a:t>
          </a:r>
          <a:r>
            <a:rPr lang="ar-SA" sz="900" b="1" kern="1200">
              <a:latin typeface="Arial" pitchFamily="34" charset="0"/>
              <a:cs typeface="Arial" pitchFamily="34" charset="0"/>
            </a:rPr>
            <a:t> </a:t>
          </a:r>
          <a:r>
            <a:rPr lang="en-US" sz="900" b="1" kern="1200">
              <a:latin typeface="Arial" pitchFamily="34" charset="0"/>
              <a:cs typeface="Arial" pitchFamily="34" charset="0"/>
            </a:rPr>
            <a:t>2,255 million</a:t>
          </a:r>
          <a:endParaRPr lang="ar-SA" sz="900" b="1" kern="1200">
            <a:latin typeface="Arial" pitchFamily="34" charset="0"/>
            <a:cs typeface="Arial" pitchFamily="34" charset="0"/>
          </a:endParaRPr>
        </a:p>
      </dsp:txBody>
      <dsp:txXfrm rot="240000">
        <a:off x="351089" y="2228398"/>
        <a:ext cx="1541530" cy="532359"/>
      </dsp:txXfrm>
    </dsp:sp>
    <dsp:sp modelId="{FE424196-97AB-4579-B08B-0B3BFF3F49F7}">
      <dsp:nvSpPr>
        <dsp:cNvPr id="0" name=""/>
        <dsp:cNvSpPr/>
      </dsp:nvSpPr>
      <dsp:spPr>
        <a:xfrm rot="240000">
          <a:off x="387559" y="1509305"/>
          <a:ext cx="1529498" cy="704428"/>
        </a:xfrm>
        <a:prstGeom prst="roundRect">
          <a:avLst/>
        </a:prstGeom>
        <a:solidFill>
          <a:srgbClr val="BE4B48"/>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Gross domestic revenues USD </a:t>
          </a:r>
          <a:r>
            <a:rPr lang="en-US" sz="900" b="1" kern="1200">
              <a:latin typeface="Arial" pitchFamily="34" charset="0"/>
              <a:cs typeface="Arial" pitchFamily="34" charset="0"/>
            </a:rPr>
            <a:t>1,349</a:t>
          </a:r>
          <a:r>
            <a:rPr lang="ar-SA" sz="900" b="1" kern="1200">
              <a:latin typeface="Arial" pitchFamily="34" charset="0"/>
              <a:cs typeface="Arial" pitchFamily="34" charset="0"/>
            </a:rPr>
            <a:t> </a:t>
          </a:r>
          <a:r>
            <a:rPr lang="en-US" sz="900" b="1" kern="1200">
              <a:latin typeface="Arial" pitchFamily="34" charset="0"/>
              <a:cs typeface="Arial" pitchFamily="34" charset="0"/>
            </a:rPr>
            <a:t>million</a:t>
          </a:r>
          <a:endParaRPr lang="en-GB" sz="900" b="1" kern="1200">
            <a:latin typeface="Arial" pitchFamily="34" charset="0"/>
            <a:cs typeface="Arial" pitchFamily="34" charset="0"/>
          </a:endParaRPr>
        </a:p>
      </dsp:txBody>
      <dsp:txXfrm rot="240000">
        <a:off x="387559" y="1509305"/>
        <a:ext cx="1529498" cy="70442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E13B3DF-00A1-4ED6-8015-300713C650F4}">
      <dsp:nvSpPr>
        <dsp:cNvPr id="0" name=""/>
        <dsp:cNvSpPr/>
      </dsp:nvSpPr>
      <dsp:spPr>
        <a:xfrm>
          <a:off x="920759" y="0"/>
          <a:ext cx="4203680" cy="3825875"/>
        </a:xfrm>
        <a:prstGeom prst="ellipse">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rtl="0">
            <a:lnSpc>
              <a:spcPct val="90000"/>
            </a:lnSpc>
            <a:spcBef>
              <a:spcPct val="0"/>
            </a:spcBef>
            <a:spcAft>
              <a:spcPct val="35000"/>
            </a:spcAft>
          </a:pPr>
          <a:r>
            <a:rPr lang="en-US" sz="900" b="1" kern="1200">
              <a:latin typeface="Arial" pitchFamily="34" charset="0"/>
              <a:cs typeface="Arial" pitchFamily="34" charset="0"/>
            </a:rPr>
            <a:t>Credit provided to finance other  sectors              USD 5,493 million</a:t>
          </a:r>
        </a:p>
        <a:p>
          <a:pPr lvl="0" algn="ctr" defTabSz="400050" rtl="1">
            <a:lnSpc>
              <a:spcPct val="90000"/>
            </a:lnSpc>
            <a:spcBef>
              <a:spcPct val="0"/>
            </a:spcBef>
            <a:spcAft>
              <a:spcPct val="35000"/>
            </a:spcAft>
          </a:pPr>
          <a:endParaRPr lang="en-GB" sz="500" kern="1200"/>
        </a:p>
      </dsp:txBody>
      <dsp:txXfrm>
        <a:off x="2434925" y="191293"/>
        <a:ext cx="1175348" cy="573881"/>
      </dsp:txXfrm>
    </dsp:sp>
    <dsp:sp modelId="{4787E354-CC56-40AC-AF4D-427BBD647D0D}">
      <dsp:nvSpPr>
        <dsp:cNvPr id="0" name=""/>
        <dsp:cNvSpPr/>
      </dsp:nvSpPr>
      <dsp:spPr>
        <a:xfrm>
          <a:off x="1123955" y="765175"/>
          <a:ext cx="3797288" cy="3060700"/>
        </a:xfrm>
        <a:prstGeom prst="ellipse">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Credit provided to finance consumption loans                     </a:t>
          </a:r>
          <a:r>
            <a:rPr lang="en-US" sz="900" b="1" kern="1200">
              <a:solidFill>
                <a:schemeClr val="bg1"/>
              </a:solidFill>
              <a:latin typeface="Arial" pitchFamily="34" charset="0"/>
              <a:cs typeface="Arial" pitchFamily="34" charset="0"/>
            </a:rPr>
            <a:t>USD 1,327 million</a:t>
          </a:r>
          <a:endParaRPr lang="en-GB" sz="900" b="1" kern="1200">
            <a:solidFill>
              <a:schemeClr val="bg1"/>
            </a:solidFill>
            <a:latin typeface="Arial" pitchFamily="34" charset="0"/>
            <a:cs typeface="Arial" pitchFamily="34" charset="0"/>
          </a:endParaRPr>
        </a:p>
      </dsp:txBody>
      <dsp:txXfrm>
        <a:off x="2359023" y="948817"/>
        <a:ext cx="1327152" cy="550926"/>
      </dsp:txXfrm>
    </dsp:sp>
    <dsp:sp modelId="{EF5888B1-4BB5-495C-80F9-245D1BD004C0}">
      <dsp:nvSpPr>
        <dsp:cNvPr id="0" name=""/>
        <dsp:cNvSpPr/>
      </dsp:nvSpPr>
      <dsp:spPr>
        <a:xfrm>
          <a:off x="1543053" y="1638297"/>
          <a:ext cx="2959092" cy="2079630"/>
        </a:xfrm>
        <a:prstGeom prst="ellipse">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rtl="0">
            <a:lnSpc>
              <a:spcPct val="90000"/>
            </a:lnSpc>
            <a:spcBef>
              <a:spcPct val="0"/>
            </a:spcBef>
            <a:spcAft>
              <a:spcPct val="35000"/>
            </a:spcAft>
          </a:pPr>
          <a:endParaRPr lang="en-GB" sz="1000" b="1" kern="1200">
            <a:latin typeface="Arial" pitchFamily="34" charset="0"/>
            <a:cs typeface="Arial" pitchFamily="34" charset="0"/>
          </a:endParaRPr>
        </a:p>
        <a:p>
          <a:pPr lvl="0" algn="ctr" defTabSz="444500" rtl="0">
            <a:lnSpc>
              <a:spcPct val="90000"/>
            </a:lnSpc>
            <a:spcBef>
              <a:spcPct val="0"/>
            </a:spcBef>
            <a:spcAft>
              <a:spcPct val="35000"/>
            </a:spcAft>
          </a:pPr>
          <a:r>
            <a:rPr lang="en-GB" sz="900" b="1" kern="1200">
              <a:latin typeface="Arial" pitchFamily="34" charset="0"/>
              <a:cs typeface="Arial" pitchFamily="34" charset="0"/>
            </a:rPr>
            <a:t>Credit provided to the public sector          </a:t>
          </a:r>
          <a:r>
            <a:rPr lang="en-US" sz="900" b="1" kern="1200">
              <a:solidFill>
                <a:schemeClr val="bg1"/>
              </a:solidFill>
              <a:latin typeface="Arial" pitchFamily="34" charset="0"/>
              <a:cs typeface="Arial" pitchFamily="34" charset="0"/>
            </a:rPr>
            <a:t>USD 1,316 million</a:t>
          </a:r>
          <a:endParaRPr lang="en-GB" sz="900" b="1" kern="1200">
            <a:latin typeface="Arial" pitchFamily="34" charset="0"/>
            <a:cs typeface="Arial" pitchFamily="34" charset="0"/>
          </a:endParaRPr>
        </a:p>
        <a:p>
          <a:pPr lvl="0" algn="ctr" defTabSz="444500" rtl="1">
            <a:lnSpc>
              <a:spcPct val="90000"/>
            </a:lnSpc>
            <a:spcBef>
              <a:spcPct val="0"/>
            </a:spcBef>
            <a:spcAft>
              <a:spcPct val="35000"/>
            </a:spcAft>
          </a:pPr>
          <a:endParaRPr lang="en-GB" sz="1100" b="1" kern="1200">
            <a:latin typeface="Arial" pitchFamily="34" charset="0"/>
            <a:cs typeface="Arial" pitchFamily="34" charset="0"/>
          </a:endParaRPr>
        </a:p>
      </dsp:txBody>
      <dsp:txXfrm>
        <a:off x="2333131" y="1794269"/>
        <a:ext cx="1378937" cy="467916"/>
      </dsp:txXfrm>
    </dsp:sp>
    <dsp:sp modelId="{B4DE6D81-32C6-441D-B9E0-07A556C2A389}">
      <dsp:nvSpPr>
        <dsp:cNvPr id="0" name=""/>
        <dsp:cNvSpPr/>
      </dsp:nvSpPr>
      <dsp:spPr>
        <a:xfrm>
          <a:off x="2257425" y="2399466"/>
          <a:ext cx="1530350" cy="1322467"/>
        </a:xfrm>
        <a:prstGeom prst="ellipse">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rtl="1">
            <a:lnSpc>
              <a:spcPct val="90000"/>
            </a:lnSpc>
            <a:spcBef>
              <a:spcPct val="0"/>
            </a:spcBef>
            <a:spcAft>
              <a:spcPct val="35000"/>
            </a:spcAft>
          </a:pPr>
          <a:r>
            <a:rPr lang="en-GB" sz="900" b="1" kern="1200">
              <a:latin typeface="Arial" pitchFamily="34" charset="0"/>
              <a:cs typeface="Arial" pitchFamily="34" charset="0"/>
            </a:rPr>
            <a:t>Credit provided to finance cars and vehicles </a:t>
          </a:r>
          <a:r>
            <a:rPr lang="en-US" sz="900" b="1" kern="1200">
              <a:solidFill>
                <a:schemeClr val="bg1"/>
              </a:solidFill>
              <a:latin typeface="Arial" pitchFamily="34" charset="0"/>
              <a:cs typeface="Arial" pitchFamily="34" charset="0"/>
            </a:rPr>
            <a:t>USD 302 million</a:t>
          </a:r>
          <a:r>
            <a:rPr lang="en-GB" sz="900" b="1" kern="1200">
              <a:latin typeface="Arial" pitchFamily="34" charset="0"/>
              <a:cs typeface="Arial" pitchFamily="34" charset="0"/>
            </a:rPr>
            <a:t> </a:t>
          </a:r>
        </a:p>
      </dsp:txBody>
      <dsp:txXfrm>
        <a:off x="2481539" y="2730083"/>
        <a:ext cx="1082120" cy="661233"/>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AE5B439-E3FD-46AB-A6BB-CD04C15F67CA}">
      <dsp:nvSpPr>
        <dsp:cNvPr id="0" name=""/>
        <dsp:cNvSpPr/>
      </dsp:nvSpPr>
      <dsp:spPr>
        <a:xfrm>
          <a:off x="896796" y="0"/>
          <a:ext cx="3657600" cy="2286000"/>
        </a:xfrm>
        <a:prstGeom prst="swooshArrow">
          <a:avLst>
            <a:gd name="adj1" fmla="val 25000"/>
            <a:gd name="adj2" fmla="val 25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3170D65-8124-4B4E-BB79-CB161D9AF406}">
      <dsp:nvSpPr>
        <dsp:cNvPr id="0" name=""/>
        <dsp:cNvSpPr/>
      </dsp:nvSpPr>
      <dsp:spPr>
        <a:xfrm>
          <a:off x="1231686" y="1699869"/>
          <a:ext cx="84124" cy="8412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7E15A30-E890-4416-9D3A-77AE7E95A982}">
      <dsp:nvSpPr>
        <dsp:cNvPr id="0" name=""/>
        <dsp:cNvSpPr/>
      </dsp:nvSpPr>
      <dsp:spPr>
        <a:xfrm>
          <a:off x="1012946" y="1951485"/>
          <a:ext cx="1290721" cy="33451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4576" tIns="0" rIns="0" bIns="0" numCol="1" spcCol="1270" anchor="t"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Deposits 2013</a:t>
          </a:r>
        </a:p>
        <a:p>
          <a:pPr lvl="0" algn="ctr" defTabSz="400050" rtl="0">
            <a:lnSpc>
              <a:spcPct val="90000"/>
            </a:lnSpc>
            <a:spcBef>
              <a:spcPct val="0"/>
            </a:spcBef>
            <a:spcAft>
              <a:spcPct val="35000"/>
            </a:spcAft>
          </a:pPr>
          <a:r>
            <a:rPr lang="en-GB" sz="900" b="1" kern="1200">
              <a:latin typeface="Arial" pitchFamily="34" charset="0"/>
              <a:cs typeface="Arial" pitchFamily="34" charset="0"/>
            </a:rPr>
            <a:t> USD 8,304 million </a:t>
          </a:r>
          <a:endParaRPr lang="en-GB" sz="900" b="1" kern="1200">
            <a:solidFill>
              <a:schemeClr val="tx2">
                <a:lumMod val="60000"/>
                <a:lumOff val="40000"/>
              </a:schemeClr>
            </a:solidFill>
            <a:latin typeface="Arial" pitchFamily="34" charset="0"/>
            <a:cs typeface="Arial" pitchFamily="34" charset="0"/>
          </a:endParaRPr>
        </a:p>
      </dsp:txBody>
      <dsp:txXfrm>
        <a:off x="1012946" y="1951485"/>
        <a:ext cx="1290721" cy="334514"/>
      </dsp:txXfrm>
    </dsp:sp>
    <dsp:sp modelId="{8D055E41-244A-4E33-9E59-043455ECBD0D}">
      <dsp:nvSpPr>
        <dsp:cNvPr id="0" name=""/>
        <dsp:cNvSpPr/>
      </dsp:nvSpPr>
      <dsp:spPr>
        <a:xfrm>
          <a:off x="1826046" y="1168145"/>
          <a:ext cx="146304" cy="14630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F799365-858A-4981-8493-28E51A28985C}">
      <dsp:nvSpPr>
        <dsp:cNvPr id="0" name=""/>
        <dsp:cNvSpPr/>
      </dsp:nvSpPr>
      <dsp:spPr>
        <a:xfrm>
          <a:off x="1503279" y="1481104"/>
          <a:ext cx="1382519" cy="3525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7523" tIns="0" rIns="0" bIns="0" numCol="1" spcCol="1270" anchor="t"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Deposits 2015</a:t>
          </a:r>
        </a:p>
        <a:p>
          <a:pPr lvl="0" algn="ctr" defTabSz="400050" rtl="0">
            <a:lnSpc>
              <a:spcPct val="90000"/>
            </a:lnSpc>
            <a:spcBef>
              <a:spcPct val="0"/>
            </a:spcBef>
            <a:spcAft>
              <a:spcPct val="35000"/>
            </a:spcAft>
          </a:pPr>
          <a:r>
            <a:rPr lang="en-GB" sz="900" b="1" kern="1200">
              <a:latin typeface="Arial" pitchFamily="34" charset="0"/>
              <a:cs typeface="Arial" pitchFamily="34" charset="0"/>
            </a:rPr>
            <a:t> USD 9,654 million </a:t>
          </a:r>
          <a:endParaRPr lang="en-GB" sz="900" b="1" kern="1200">
            <a:solidFill>
              <a:schemeClr val="tx2">
                <a:lumMod val="60000"/>
                <a:lumOff val="40000"/>
              </a:schemeClr>
            </a:solidFill>
            <a:latin typeface="Arial" pitchFamily="34" charset="0"/>
            <a:cs typeface="Arial" pitchFamily="34" charset="0"/>
          </a:endParaRPr>
        </a:p>
      </dsp:txBody>
      <dsp:txXfrm>
        <a:off x="1503279" y="1481104"/>
        <a:ext cx="1382519" cy="352555"/>
      </dsp:txXfrm>
    </dsp:sp>
    <dsp:sp modelId="{B066D2E6-6EE1-40DF-A7B8-4670429C488E}">
      <dsp:nvSpPr>
        <dsp:cNvPr id="0" name=""/>
        <dsp:cNvSpPr/>
      </dsp:nvSpPr>
      <dsp:spPr>
        <a:xfrm>
          <a:off x="2584998" y="776325"/>
          <a:ext cx="193852" cy="19385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4D958E3-E8C9-4A9D-85AE-1D64558ED7B3}">
      <dsp:nvSpPr>
        <dsp:cNvPr id="0" name=""/>
        <dsp:cNvSpPr/>
      </dsp:nvSpPr>
      <dsp:spPr>
        <a:xfrm>
          <a:off x="2350806" y="1063725"/>
          <a:ext cx="1462070" cy="35865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2719" tIns="0" rIns="0" bIns="0" numCol="1" spcCol="1270" anchor="t"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Deposits 2017</a:t>
          </a:r>
        </a:p>
        <a:p>
          <a:pPr lvl="0" algn="ctr" defTabSz="400050" rtl="0">
            <a:lnSpc>
              <a:spcPct val="90000"/>
            </a:lnSpc>
            <a:spcBef>
              <a:spcPct val="0"/>
            </a:spcBef>
            <a:spcAft>
              <a:spcPct val="35000"/>
            </a:spcAft>
          </a:pPr>
          <a:r>
            <a:rPr lang="en-GB" sz="900" b="1" kern="1200">
              <a:latin typeface="Arial" pitchFamily="34" charset="0"/>
              <a:cs typeface="Arial" pitchFamily="34" charset="0"/>
            </a:rPr>
            <a:t>USD 11,983 million </a:t>
          </a:r>
          <a:endParaRPr lang="en-GB" sz="900" b="1" kern="1200">
            <a:solidFill>
              <a:schemeClr val="tx2">
                <a:lumMod val="60000"/>
                <a:lumOff val="40000"/>
              </a:schemeClr>
            </a:solidFill>
            <a:latin typeface="Arial" pitchFamily="34" charset="0"/>
            <a:cs typeface="Arial" pitchFamily="34" charset="0"/>
          </a:endParaRPr>
        </a:p>
      </dsp:txBody>
      <dsp:txXfrm>
        <a:off x="2350806" y="1063725"/>
        <a:ext cx="1462070" cy="358654"/>
      </dsp:txXfrm>
    </dsp:sp>
    <dsp:sp modelId="{9F4A49FF-D6FD-40F8-A929-6B2D2146495A}">
      <dsp:nvSpPr>
        <dsp:cNvPr id="0" name=""/>
        <dsp:cNvSpPr/>
      </dsp:nvSpPr>
      <dsp:spPr>
        <a:xfrm>
          <a:off x="3411616" y="517093"/>
          <a:ext cx="259689" cy="25968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7C44B56-D55A-4CAC-A2E7-81DA19F5FBD7}">
      <dsp:nvSpPr>
        <dsp:cNvPr id="0" name=""/>
        <dsp:cNvSpPr/>
      </dsp:nvSpPr>
      <dsp:spPr>
        <a:xfrm>
          <a:off x="3976622" y="802706"/>
          <a:ext cx="1378955" cy="33091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7604" tIns="0" rIns="0" bIns="0" numCol="1" spcCol="1270" anchor="t"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Deposits 2018</a:t>
          </a:r>
        </a:p>
        <a:p>
          <a:pPr lvl="0" algn="ctr" defTabSz="400050" rtl="0">
            <a:lnSpc>
              <a:spcPct val="90000"/>
            </a:lnSpc>
            <a:spcBef>
              <a:spcPct val="0"/>
            </a:spcBef>
            <a:spcAft>
              <a:spcPct val="35000"/>
            </a:spcAft>
          </a:pPr>
          <a:r>
            <a:rPr lang="en-GB" sz="900" b="1" kern="1200">
              <a:latin typeface="Arial" pitchFamily="34" charset="0"/>
              <a:cs typeface="Arial" pitchFamily="34" charset="0"/>
            </a:rPr>
            <a:t>USD 12,227 million </a:t>
          </a:r>
          <a:endParaRPr lang="en-GB" sz="900" b="1" kern="1200">
            <a:solidFill>
              <a:schemeClr val="tx2">
                <a:lumMod val="60000"/>
                <a:lumOff val="40000"/>
              </a:schemeClr>
            </a:solidFill>
            <a:latin typeface="Arial" pitchFamily="34" charset="0"/>
            <a:cs typeface="Arial" pitchFamily="34" charset="0"/>
          </a:endParaRPr>
        </a:p>
      </dsp:txBody>
      <dsp:txXfrm>
        <a:off x="3976622" y="802706"/>
        <a:ext cx="1378955" cy="330910"/>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796A694-F4FF-4B3E-A942-284DE15677BC}">
      <dsp:nvSpPr>
        <dsp:cNvPr id="0" name=""/>
        <dsp:cNvSpPr/>
      </dsp:nvSpPr>
      <dsp:spPr>
        <a:xfrm>
          <a:off x="1791324" y="154779"/>
          <a:ext cx="1873805" cy="650748"/>
        </a:xfrm>
        <a:prstGeom prst="ellipse">
          <a:avLst/>
        </a:prstGeom>
        <a:solidFill>
          <a:schemeClr val="accent1">
            <a:tint val="50000"/>
            <a:alpha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CB9BD45-C57E-49CA-82E9-26AC99A55757}">
      <dsp:nvSpPr>
        <dsp:cNvPr id="0" name=""/>
        <dsp:cNvSpPr/>
      </dsp:nvSpPr>
      <dsp:spPr>
        <a:xfrm>
          <a:off x="2561629" y="1687877"/>
          <a:ext cx="363140" cy="232410"/>
        </a:xfrm>
        <a:prstGeom prst="down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D8AD76FD-8000-4CCA-9A68-001C40EB1E55}">
      <dsp:nvSpPr>
        <dsp:cNvPr id="0" name=""/>
        <dsp:cNvSpPr/>
      </dsp:nvSpPr>
      <dsp:spPr>
        <a:xfrm>
          <a:off x="1871662" y="1873805"/>
          <a:ext cx="1743075" cy="435768"/>
        </a:xfrm>
        <a:prstGeom prst="rect">
          <a:avLst/>
        </a:prstGeom>
        <a:solidFill>
          <a:schemeClr val="accent1"/>
        </a:solid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rtl="0">
            <a:lnSpc>
              <a:spcPct val="90000"/>
            </a:lnSpc>
            <a:spcBef>
              <a:spcPct val="0"/>
            </a:spcBef>
            <a:spcAft>
              <a:spcPct val="35000"/>
            </a:spcAft>
          </a:pPr>
          <a:r>
            <a:rPr lang="en-US" sz="900" b="1" kern="1200">
              <a:solidFill>
                <a:schemeClr val="bg1"/>
              </a:solidFill>
              <a:latin typeface="Arial" pitchFamily="34" charset="0"/>
              <a:cs typeface="Arial" pitchFamily="34" charset="0"/>
            </a:rPr>
            <a:t>Net </a:t>
          </a:r>
          <a:r>
            <a:rPr lang="en-GB" sz="900" b="1" kern="1200">
              <a:solidFill>
                <a:schemeClr val="bg1"/>
              </a:solidFill>
              <a:latin typeface="Arial" pitchFamily="34" charset="0"/>
              <a:cs typeface="Arial" pitchFamily="34" charset="0"/>
            </a:rPr>
            <a:t>Current Account         </a:t>
          </a:r>
          <a:r>
            <a:rPr lang="en-US" sz="900" b="1" kern="1200">
              <a:solidFill>
                <a:schemeClr val="bg1"/>
              </a:solidFill>
              <a:latin typeface="Arial" pitchFamily="34" charset="0"/>
              <a:cs typeface="Arial" pitchFamily="34" charset="0"/>
            </a:rPr>
            <a:t>USD -1,659 million</a:t>
          </a:r>
          <a:endParaRPr lang="ar-SA" sz="900" b="1" kern="1200">
            <a:solidFill>
              <a:schemeClr val="bg1"/>
            </a:solidFill>
            <a:latin typeface="Arial" pitchFamily="34" charset="0"/>
            <a:cs typeface="Arial" pitchFamily="34" charset="0"/>
          </a:endParaRPr>
        </a:p>
      </dsp:txBody>
      <dsp:txXfrm>
        <a:off x="1871662" y="1873805"/>
        <a:ext cx="1743075" cy="435768"/>
      </dsp:txXfrm>
    </dsp:sp>
    <dsp:sp modelId="{6E40B1CB-5439-47E8-8E27-6426FCF4E26F}">
      <dsp:nvSpPr>
        <dsp:cNvPr id="0" name=""/>
        <dsp:cNvSpPr/>
      </dsp:nvSpPr>
      <dsp:spPr>
        <a:xfrm>
          <a:off x="2135374" y="732940"/>
          <a:ext cx="1109478" cy="8198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0">
            <a:lnSpc>
              <a:spcPct val="90000"/>
            </a:lnSpc>
            <a:spcBef>
              <a:spcPct val="0"/>
            </a:spcBef>
            <a:spcAft>
              <a:spcPct val="35000"/>
            </a:spcAft>
          </a:pPr>
          <a:endParaRPr lang="en-GB" sz="1000" b="1" kern="1200"/>
        </a:p>
        <a:p>
          <a:pPr lvl="0" algn="ctr" defTabSz="444500" rtl="0">
            <a:lnSpc>
              <a:spcPct val="90000"/>
            </a:lnSpc>
            <a:spcBef>
              <a:spcPct val="0"/>
            </a:spcBef>
            <a:spcAft>
              <a:spcPct val="35000"/>
            </a:spcAft>
          </a:pPr>
          <a:r>
            <a:rPr lang="en-GB" sz="900" b="1" kern="1200">
              <a:latin typeface="Arial" pitchFamily="34" charset="0"/>
              <a:cs typeface="Arial" pitchFamily="34" charset="0"/>
            </a:rPr>
            <a:t>Net Income </a:t>
          </a:r>
          <a:r>
            <a:rPr lang="en-US" sz="900" b="1" kern="1200">
              <a:latin typeface="Arial" pitchFamily="34" charset="0"/>
              <a:cs typeface="Arial" pitchFamily="34" charset="0"/>
            </a:rPr>
            <a:t>USD 2,394 million</a:t>
          </a:r>
          <a:endParaRPr lang="ar-SA" sz="900" b="1" kern="1200">
            <a:latin typeface="Arial" pitchFamily="34" charset="0"/>
            <a:cs typeface="Arial" pitchFamily="34" charset="0"/>
          </a:endParaRPr>
        </a:p>
        <a:p>
          <a:pPr lvl="0" algn="ctr" defTabSz="444500" rtl="1">
            <a:lnSpc>
              <a:spcPct val="90000"/>
            </a:lnSpc>
            <a:spcBef>
              <a:spcPct val="0"/>
            </a:spcBef>
            <a:spcAft>
              <a:spcPct val="35000"/>
            </a:spcAft>
          </a:pPr>
          <a:endParaRPr lang="ar-SA" sz="1000" kern="1200">
            <a:latin typeface="Arial" pitchFamily="34" charset="0"/>
            <a:cs typeface="Arial" pitchFamily="34" charset="0"/>
          </a:endParaRPr>
        </a:p>
      </dsp:txBody>
      <dsp:txXfrm>
        <a:off x="2135374" y="732940"/>
        <a:ext cx="1109478" cy="819850"/>
      </dsp:txXfrm>
    </dsp:sp>
    <dsp:sp modelId="{96612AA0-ACD9-4783-A6F6-EAB5073ADAA4}">
      <dsp:nvSpPr>
        <dsp:cNvPr id="0" name=""/>
        <dsp:cNvSpPr/>
      </dsp:nvSpPr>
      <dsp:spPr>
        <a:xfrm>
          <a:off x="1437125" y="0"/>
          <a:ext cx="1337825" cy="95643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Net Current Transfers </a:t>
          </a:r>
          <a:r>
            <a:rPr lang="en-US" sz="900" b="1" kern="1200">
              <a:latin typeface="Arial" pitchFamily="34" charset="0"/>
              <a:cs typeface="Arial" pitchFamily="34" charset="0"/>
            </a:rPr>
            <a:t>USD 1,774 million</a:t>
          </a:r>
          <a:endParaRPr lang="ar-SA" sz="900" b="1" kern="1200">
            <a:latin typeface="Arial" pitchFamily="34" charset="0"/>
            <a:cs typeface="Arial" pitchFamily="34" charset="0"/>
          </a:endParaRPr>
        </a:p>
      </dsp:txBody>
      <dsp:txXfrm>
        <a:off x="1437125" y="0"/>
        <a:ext cx="1337825" cy="956438"/>
      </dsp:txXfrm>
    </dsp:sp>
    <dsp:sp modelId="{FE225B49-A847-4356-B912-925CCEFE5E4A}">
      <dsp:nvSpPr>
        <dsp:cNvPr id="0" name=""/>
        <dsp:cNvSpPr/>
      </dsp:nvSpPr>
      <dsp:spPr>
        <a:xfrm>
          <a:off x="2803650" y="63501"/>
          <a:ext cx="1266701" cy="88100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Trade Balance USD </a:t>
          </a:r>
          <a:r>
            <a:rPr lang="en-US" sz="900" b="1" kern="1200">
              <a:latin typeface="Arial" pitchFamily="34" charset="0"/>
              <a:cs typeface="Arial" pitchFamily="34" charset="0"/>
            </a:rPr>
            <a:t>-5,827</a:t>
          </a:r>
          <a:r>
            <a:rPr lang="ar-SA" sz="900" b="1" kern="1200">
              <a:latin typeface="Arial" pitchFamily="34" charset="0"/>
              <a:cs typeface="Arial" pitchFamily="34" charset="0"/>
            </a:rPr>
            <a:t> </a:t>
          </a:r>
          <a:r>
            <a:rPr lang="en-US" sz="900" b="1" kern="1200">
              <a:latin typeface="Arial" pitchFamily="34" charset="0"/>
              <a:cs typeface="Arial" pitchFamily="34" charset="0"/>
            </a:rPr>
            <a:t>million </a:t>
          </a:r>
          <a:endParaRPr lang="ar-SA" sz="900" b="1" kern="1200">
            <a:latin typeface="Arial" pitchFamily="34" charset="0"/>
            <a:cs typeface="Arial" pitchFamily="34" charset="0"/>
          </a:endParaRPr>
        </a:p>
      </dsp:txBody>
      <dsp:txXfrm>
        <a:off x="2803650" y="63501"/>
        <a:ext cx="1266701" cy="881006"/>
      </dsp:txXfrm>
    </dsp:sp>
    <dsp:sp modelId="{10600F30-24CA-44D1-A709-B0773DADCB6E}">
      <dsp:nvSpPr>
        <dsp:cNvPr id="0" name=""/>
        <dsp:cNvSpPr/>
      </dsp:nvSpPr>
      <dsp:spPr>
        <a:xfrm>
          <a:off x="1207312" y="0"/>
          <a:ext cx="3211482" cy="1626870"/>
        </a:xfrm>
        <a:prstGeom prst="funnel">
          <a:avLst/>
        </a:prstGeom>
        <a:solidFill>
          <a:schemeClr val="lt1">
            <a:alpha val="4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6677C41-BC16-4058-B772-4B963534D4DA}">
      <dsp:nvSpPr>
        <dsp:cNvPr id="0" name=""/>
        <dsp:cNvSpPr/>
      </dsp:nvSpPr>
      <dsp:spPr>
        <a:xfrm>
          <a:off x="389" y="168434"/>
          <a:ext cx="1712155" cy="1355565"/>
        </a:xfrm>
        <a:prstGeom prst="flowChartConnector">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Net International Investment Position </a:t>
          </a:r>
          <a:r>
            <a:rPr lang="en-US" sz="900" b="1" kern="1200">
              <a:latin typeface="Arial" pitchFamily="34" charset="0"/>
              <a:cs typeface="Arial" pitchFamily="34" charset="0"/>
            </a:rPr>
            <a:t>USD</a:t>
          </a:r>
          <a:r>
            <a:rPr lang="ar-SA" sz="900" b="1" kern="1200">
              <a:latin typeface="Arial" pitchFamily="34" charset="0"/>
              <a:cs typeface="Arial" pitchFamily="34" charset="0"/>
            </a:rPr>
            <a:t> </a:t>
          </a:r>
          <a:r>
            <a:rPr lang="en-US" sz="900" b="1" kern="1200">
              <a:latin typeface="Arial" pitchFamily="34" charset="0"/>
              <a:cs typeface="Arial" pitchFamily="34" charset="0"/>
            </a:rPr>
            <a:t>1,659</a:t>
          </a:r>
          <a:r>
            <a:rPr lang="en-GB" sz="900" b="1" kern="1200">
              <a:latin typeface="Arial" pitchFamily="34" charset="0"/>
              <a:cs typeface="Arial" pitchFamily="34" charset="0"/>
            </a:rPr>
            <a:t> </a:t>
          </a:r>
          <a:r>
            <a:rPr lang="en-US" sz="900" b="1" kern="1200">
              <a:latin typeface="Arial" pitchFamily="34" charset="0"/>
              <a:cs typeface="Arial" pitchFamily="34" charset="0"/>
            </a:rPr>
            <a:t>million</a:t>
          </a:r>
          <a:endParaRPr lang="en-GB" sz="900" b="1" kern="1200">
            <a:latin typeface="Arial" pitchFamily="34" charset="0"/>
            <a:cs typeface="Arial" pitchFamily="34" charset="0"/>
          </a:endParaRPr>
        </a:p>
      </dsp:txBody>
      <dsp:txXfrm>
        <a:off x="389" y="168434"/>
        <a:ext cx="1712155" cy="1355565"/>
      </dsp:txXfrm>
    </dsp:sp>
    <dsp:sp modelId="{D7E11318-5AA2-42F5-A62D-255F9B7B7E9E}">
      <dsp:nvSpPr>
        <dsp:cNvPr id="0" name=""/>
        <dsp:cNvSpPr/>
      </dsp:nvSpPr>
      <dsp:spPr>
        <a:xfrm>
          <a:off x="1776741" y="532726"/>
          <a:ext cx="458546" cy="458546"/>
        </a:xfrm>
        <a:prstGeom prst="mathEqual">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844550">
            <a:lnSpc>
              <a:spcPct val="90000"/>
            </a:lnSpc>
            <a:spcBef>
              <a:spcPct val="0"/>
            </a:spcBef>
            <a:spcAft>
              <a:spcPct val="35000"/>
            </a:spcAft>
          </a:pPr>
          <a:endParaRPr lang="en-GB" sz="1900" kern="1200"/>
        </a:p>
      </dsp:txBody>
      <dsp:txXfrm>
        <a:off x="1776741" y="532726"/>
        <a:ext cx="458546" cy="458546"/>
      </dsp:txXfrm>
    </dsp:sp>
    <dsp:sp modelId="{1BD67AB5-6E3B-4091-8675-CC140B07FCAF}">
      <dsp:nvSpPr>
        <dsp:cNvPr id="0" name=""/>
        <dsp:cNvSpPr/>
      </dsp:nvSpPr>
      <dsp:spPr>
        <a:xfrm>
          <a:off x="2247975" y="240048"/>
          <a:ext cx="1486954" cy="120037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Total External Assets</a:t>
          </a:r>
          <a:r>
            <a:rPr lang="en-US" sz="900" b="1" kern="1200">
              <a:latin typeface="Arial" pitchFamily="34" charset="0"/>
              <a:cs typeface="Arial" pitchFamily="34" charset="0"/>
            </a:rPr>
            <a:t>             USD</a:t>
          </a:r>
          <a:r>
            <a:rPr lang="en-GB" sz="900" b="1" kern="1200">
              <a:latin typeface="Arial" pitchFamily="34" charset="0"/>
              <a:cs typeface="Arial" pitchFamily="34" charset="0"/>
            </a:rPr>
            <a:t> </a:t>
          </a:r>
          <a:r>
            <a:rPr lang="en-US" sz="900" b="1" kern="1200">
              <a:latin typeface="Arial" pitchFamily="34" charset="0"/>
              <a:cs typeface="Arial" pitchFamily="34" charset="0"/>
            </a:rPr>
            <a:t>6,597 million</a:t>
          </a:r>
          <a:endParaRPr lang="en-GB" sz="900" b="1" kern="1200">
            <a:latin typeface="Arial" pitchFamily="34" charset="0"/>
            <a:cs typeface="Arial" pitchFamily="34" charset="0"/>
          </a:endParaRPr>
        </a:p>
      </dsp:txBody>
      <dsp:txXfrm>
        <a:off x="2247975" y="240048"/>
        <a:ext cx="1486954" cy="1200378"/>
      </dsp:txXfrm>
    </dsp:sp>
    <dsp:sp modelId="{73962B58-4768-405E-AD55-ABD781D3FF1E}">
      <dsp:nvSpPr>
        <dsp:cNvPr id="0" name=""/>
        <dsp:cNvSpPr/>
      </dsp:nvSpPr>
      <dsp:spPr>
        <a:xfrm>
          <a:off x="3801949" y="520529"/>
          <a:ext cx="331469" cy="458546"/>
        </a:xfrm>
        <a:prstGeom prst="mathMinus">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GB" sz="700" kern="1200"/>
        </a:p>
      </dsp:txBody>
      <dsp:txXfrm>
        <a:off x="3801949" y="520529"/>
        <a:ext cx="331469" cy="458546"/>
      </dsp:txXfrm>
    </dsp:sp>
    <dsp:sp modelId="{2A268429-F318-4BAE-B616-7662387ABD4F}">
      <dsp:nvSpPr>
        <dsp:cNvPr id="0" name=""/>
        <dsp:cNvSpPr/>
      </dsp:nvSpPr>
      <dsp:spPr>
        <a:xfrm>
          <a:off x="4206488" y="188240"/>
          <a:ext cx="1474660" cy="129466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Total Foreign Liabilities        </a:t>
          </a:r>
          <a:r>
            <a:rPr lang="en-US" sz="900" b="1" kern="1200">
              <a:latin typeface="Arial" pitchFamily="34" charset="0"/>
              <a:cs typeface="Arial" pitchFamily="34" charset="0"/>
            </a:rPr>
            <a:t>USD 4,938 million </a:t>
          </a:r>
          <a:endParaRPr lang="en-GB" sz="900" b="1" kern="1200">
            <a:latin typeface="Arial" pitchFamily="34" charset="0"/>
            <a:cs typeface="Arial" pitchFamily="34" charset="0"/>
          </a:endParaRPr>
        </a:p>
      </dsp:txBody>
      <dsp:txXfrm>
        <a:off x="4206488" y="188240"/>
        <a:ext cx="1474660" cy="1294665"/>
      </dsp:txXfrm>
    </dsp:sp>
  </dsp:spTree>
</dsp:drawing>
</file>

<file path=word/diagrams/drawing6.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316E99F-373A-4355-943B-6AD98189904B}">
      <dsp:nvSpPr>
        <dsp:cNvPr id="0" name=""/>
        <dsp:cNvSpPr/>
      </dsp:nvSpPr>
      <dsp:spPr>
        <a:xfrm>
          <a:off x="2006897" y="1577214"/>
          <a:ext cx="1809454" cy="492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Gross External Debt Position</a:t>
          </a:r>
          <a:r>
            <a:rPr lang="en-US" sz="900" b="1" kern="1200">
              <a:latin typeface="Arial" pitchFamily="34" charset="0"/>
              <a:cs typeface="Arial" pitchFamily="34" charset="0"/>
            </a:rPr>
            <a:t> USD</a:t>
          </a:r>
          <a:r>
            <a:rPr lang="ar-SA" sz="900" b="1" kern="1200">
              <a:latin typeface="Arial" pitchFamily="34" charset="0"/>
              <a:cs typeface="Arial" pitchFamily="34" charset="0"/>
            </a:rPr>
            <a:t> </a:t>
          </a:r>
          <a:r>
            <a:rPr lang="en-US" sz="900" b="1" kern="1200">
              <a:latin typeface="Arial" pitchFamily="34" charset="0"/>
              <a:cs typeface="Arial" pitchFamily="34" charset="0"/>
            </a:rPr>
            <a:t>1,535</a:t>
          </a:r>
          <a:r>
            <a:rPr lang="ar-SA" sz="900" b="1" kern="1200">
              <a:latin typeface="Arial" pitchFamily="34" charset="0"/>
              <a:cs typeface="Arial" pitchFamily="34" charset="0"/>
            </a:rPr>
            <a:t> </a:t>
          </a:r>
          <a:r>
            <a:rPr lang="en-US" sz="900" b="1" kern="1200">
              <a:latin typeface="Arial" pitchFamily="34" charset="0"/>
              <a:cs typeface="Arial" pitchFamily="34" charset="0"/>
            </a:rPr>
            <a:t>million</a:t>
          </a:r>
          <a:endParaRPr lang="ar-SA" sz="900" b="1" kern="1200">
            <a:latin typeface="Arial" pitchFamily="34" charset="0"/>
            <a:cs typeface="Arial" pitchFamily="34" charset="0"/>
          </a:endParaRPr>
        </a:p>
      </dsp:txBody>
      <dsp:txXfrm>
        <a:off x="2006897" y="1577214"/>
        <a:ext cx="1809454" cy="492888"/>
      </dsp:txXfrm>
    </dsp:sp>
    <dsp:sp modelId="{26121873-4A7D-4704-B448-9DF962B5D311}">
      <dsp:nvSpPr>
        <dsp:cNvPr id="0" name=""/>
        <dsp:cNvSpPr/>
      </dsp:nvSpPr>
      <dsp:spPr>
        <a:xfrm rot="12900000">
          <a:off x="1805217" y="1196585"/>
          <a:ext cx="813156" cy="2740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1CF5838-B757-43B4-B113-E2770AC56687}">
      <dsp:nvSpPr>
        <dsp:cNvPr id="0" name=""/>
        <dsp:cNvSpPr/>
      </dsp:nvSpPr>
      <dsp:spPr>
        <a:xfrm>
          <a:off x="1358926" y="615951"/>
          <a:ext cx="1039639" cy="9689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Banks  </a:t>
          </a:r>
        </a:p>
        <a:p>
          <a:pPr lvl="0" algn="ctr" defTabSz="400050" rtl="0">
            <a:lnSpc>
              <a:spcPct val="90000"/>
            </a:lnSpc>
            <a:spcBef>
              <a:spcPct val="0"/>
            </a:spcBef>
            <a:spcAft>
              <a:spcPct val="35000"/>
            </a:spcAft>
          </a:pPr>
          <a:r>
            <a:rPr lang="en-GB" sz="900" b="1" kern="1200">
              <a:latin typeface="Arial" pitchFamily="34" charset="0"/>
              <a:cs typeface="Arial" pitchFamily="34" charset="0"/>
            </a:rPr>
            <a:t>USD</a:t>
          </a:r>
          <a:r>
            <a:rPr lang="ar-SA" sz="900" b="1" kern="1200">
              <a:latin typeface="Arial" pitchFamily="34" charset="0"/>
              <a:cs typeface="Arial" pitchFamily="34" charset="0"/>
            </a:rPr>
            <a:t> 417 </a:t>
          </a:r>
          <a:r>
            <a:rPr lang="en-US" sz="900" b="1" kern="1200">
              <a:latin typeface="Arial" pitchFamily="34" charset="0"/>
              <a:cs typeface="Arial" pitchFamily="34" charset="0"/>
            </a:rPr>
            <a:t>million </a:t>
          </a:r>
          <a:endParaRPr lang="ar-SA" sz="900" b="1" kern="1200">
            <a:latin typeface="Arial" pitchFamily="34" charset="0"/>
            <a:cs typeface="Arial" pitchFamily="34" charset="0"/>
          </a:endParaRPr>
        </a:p>
      </dsp:txBody>
      <dsp:txXfrm>
        <a:off x="1358926" y="615951"/>
        <a:ext cx="1039639" cy="968955"/>
      </dsp:txXfrm>
    </dsp:sp>
    <dsp:sp modelId="{8C841B95-C202-4D08-BCF5-7FD0BC200FCD}">
      <dsp:nvSpPr>
        <dsp:cNvPr id="0" name=""/>
        <dsp:cNvSpPr/>
      </dsp:nvSpPr>
      <dsp:spPr>
        <a:xfrm rot="16200000">
          <a:off x="2378905" y="905035"/>
          <a:ext cx="1065439" cy="2740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707A91C-1221-44BD-ADBD-9EB3B6622D89}">
      <dsp:nvSpPr>
        <dsp:cNvPr id="0" name=""/>
        <dsp:cNvSpPr/>
      </dsp:nvSpPr>
      <dsp:spPr>
        <a:xfrm>
          <a:off x="2337813" y="38097"/>
          <a:ext cx="1147623" cy="104929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Central Government</a:t>
          </a:r>
          <a:r>
            <a:rPr lang="en-US" sz="900" b="1" kern="1200">
              <a:latin typeface="Arial" pitchFamily="34" charset="0"/>
              <a:cs typeface="Arial" pitchFamily="34" charset="0"/>
            </a:rPr>
            <a:t> USD</a:t>
          </a:r>
          <a:r>
            <a:rPr lang="ar-SA" sz="900" b="1" kern="1200">
              <a:latin typeface="Arial" pitchFamily="34" charset="0"/>
              <a:cs typeface="Arial" pitchFamily="34" charset="0"/>
            </a:rPr>
            <a:t> </a:t>
          </a:r>
          <a:r>
            <a:rPr lang="en-US" sz="900" b="1" kern="1200">
              <a:latin typeface="Arial" pitchFamily="34" charset="0"/>
              <a:cs typeface="Arial" pitchFamily="34" charset="0"/>
            </a:rPr>
            <a:t>1,032</a:t>
          </a:r>
          <a:r>
            <a:rPr lang="ar-SA" sz="900" b="1" kern="1200">
              <a:latin typeface="Arial" pitchFamily="34" charset="0"/>
              <a:cs typeface="Arial" pitchFamily="34" charset="0"/>
            </a:rPr>
            <a:t> </a:t>
          </a:r>
          <a:r>
            <a:rPr lang="en-US" sz="900" b="1" kern="1200">
              <a:latin typeface="Arial" pitchFamily="34" charset="0"/>
              <a:cs typeface="Arial" pitchFamily="34" charset="0"/>
            </a:rPr>
            <a:t>million</a:t>
          </a:r>
          <a:endParaRPr lang="ar-SA" sz="900" b="1" kern="1200">
            <a:latin typeface="Arial" pitchFamily="34" charset="0"/>
            <a:cs typeface="Arial" pitchFamily="34" charset="0"/>
          </a:endParaRPr>
        </a:p>
      </dsp:txBody>
      <dsp:txXfrm>
        <a:off x="2337813" y="38097"/>
        <a:ext cx="1147623" cy="1049298"/>
      </dsp:txXfrm>
    </dsp:sp>
    <dsp:sp modelId="{FC2F41E9-C07B-4E9C-9D72-03AA9DCF2291}">
      <dsp:nvSpPr>
        <dsp:cNvPr id="0" name=""/>
        <dsp:cNvSpPr/>
      </dsp:nvSpPr>
      <dsp:spPr>
        <a:xfrm rot="19500000">
          <a:off x="3204876" y="1196585"/>
          <a:ext cx="813156" cy="2740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6EDB086-D24F-4EE8-A9EE-6F0CC75542C1}">
      <dsp:nvSpPr>
        <dsp:cNvPr id="0" name=""/>
        <dsp:cNvSpPr/>
      </dsp:nvSpPr>
      <dsp:spPr>
        <a:xfrm>
          <a:off x="3494834" y="607008"/>
          <a:ext cx="899339" cy="98684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rtl="0">
            <a:lnSpc>
              <a:spcPct val="90000"/>
            </a:lnSpc>
            <a:spcBef>
              <a:spcPct val="0"/>
            </a:spcBef>
            <a:spcAft>
              <a:spcPct val="35000"/>
            </a:spcAft>
          </a:pPr>
          <a:r>
            <a:rPr lang="en-GB" sz="900" b="1" kern="1200">
              <a:latin typeface="Arial" pitchFamily="34" charset="0"/>
              <a:cs typeface="Arial" pitchFamily="34" charset="0"/>
            </a:rPr>
            <a:t>Other </a:t>
          </a:r>
        </a:p>
        <a:p>
          <a:pPr lvl="0" algn="ctr" defTabSz="400050" rtl="0">
            <a:lnSpc>
              <a:spcPct val="90000"/>
            </a:lnSpc>
            <a:spcBef>
              <a:spcPct val="0"/>
            </a:spcBef>
            <a:spcAft>
              <a:spcPct val="35000"/>
            </a:spcAft>
          </a:pPr>
          <a:r>
            <a:rPr lang="en-US" sz="900" b="1" kern="1200">
              <a:latin typeface="Arial" pitchFamily="34" charset="0"/>
              <a:cs typeface="Arial" pitchFamily="34" charset="0"/>
            </a:rPr>
            <a:t>USD</a:t>
          </a:r>
          <a:r>
            <a:rPr lang="ar-SA" sz="900" b="1" kern="1200">
              <a:latin typeface="Arial" pitchFamily="34" charset="0"/>
              <a:cs typeface="Arial" pitchFamily="34" charset="0"/>
            </a:rPr>
            <a:t>86  </a:t>
          </a:r>
          <a:r>
            <a:rPr lang="en-US" sz="900" b="1" kern="1200">
              <a:latin typeface="Arial" pitchFamily="34" charset="0"/>
              <a:cs typeface="Arial" pitchFamily="34" charset="0"/>
            </a:rPr>
            <a:t> million</a:t>
          </a:r>
          <a:endParaRPr lang="ar-SA" sz="900" b="1" kern="1200">
            <a:latin typeface="Arial" pitchFamily="34" charset="0"/>
            <a:cs typeface="Arial" pitchFamily="34" charset="0"/>
          </a:endParaRPr>
        </a:p>
      </dsp:txBody>
      <dsp:txXfrm>
        <a:off x="3494834" y="607008"/>
        <a:ext cx="899339" cy="986841"/>
      </dsp:txXfrm>
    </dsp:sp>
  </dsp:spTree>
</dsp:drawing>
</file>

<file path=word/diagrams/layout1.xml><?xml version="1.0" encoding="utf-8"?>
<dgm:layoutDef xmlns:dgm="http://schemas.openxmlformats.org/drawingml/2006/diagram" xmlns:a="http://schemas.openxmlformats.org/drawingml/2006/main" uniqueId="urn:microsoft.com/office/officeart/2005/8/layout/balance1">
  <dgm:title val=""/>
  <dgm:desc val=""/>
  <dgm:catLst>
    <dgm:cat type="relationship" pri="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23">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25" srcId="2" destId="23" srcOrd="0" destOrd="0"/>
      </dgm:cxnLst>
      <dgm:bg/>
      <dgm:whole/>
    </dgm:dataModel>
  </dgm:sampData>
  <dgm:styleData>
    <dgm:dataModel>
      <dgm:ptLst>
        <dgm:pt modelId="0" type="doc"/>
        <dgm:pt modelId="1"/>
        <dgm:pt modelId="11"/>
        <dgm:pt modelId="12"/>
        <dgm:pt modelId="2"/>
        <dgm:pt modelId="21"/>
        <dgm:pt modelId="22"/>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tyleData>
  <dgm:clrData>
    <dgm:dataModel>
      <dgm:ptLst>
        <dgm:pt modelId="0" type="doc"/>
        <dgm:pt modelId="1"/>
        <dgm:pt modelId="11"/>
        <dgm:pt modelId="12"/>
        <dgm:pt modelId="13"/>
        <dgm:pt modelId="2"/>
        <dgm:pt modelId="21"/>
        <dgm:pt modelId="22"/>
        <dgm:pt modelId="23"/>
      </dgm:ptLst>
      <dgm:cxnLst>
        <dgm:cxn modelId="4" srcId="0" destId="1" srcOrd="0" destOrd="0"/>
        <dgm:cxn modelId="5" srcId="0" destId="2" srcOrd="1" destOrd="0"/>
        <dgm:cxn modelId="15" srcId="1" destId="11" srcOrd="0" destOrd="0"/>
        <dgm:cxn modelId="16" srcId="1" destId="12" srcOrd="0" destOrd="0"/>
        <dgm:cxn modelId="17" srcId="1" destId="13" srcOrd="0" destOrd="0"/>
        <dgm:cxn modelId="25" srcId="2" destId="21" srcOrd="0" destOrd="0"/>
        <dgm:cxn modelId="26" srcId="2" destId="22" srcOrd="0" destOrd="0"/>
        <dgm:cxn modelId="27" srcId="2" destId="23" srcOrd="0" destOrd="0"/>
      </dgm:cxnLst>
      <dgm:bg/>
      <dgm:whole/>
    </dgm:dataModel>
  </dgm:clrData>
  <dgm:layoutNode name="outerComposite">
    <dgm:varLst>
      <dgm:chMax val="2"/>
      <dgm:animLvl val="lvl"/>
      <dgm:resizeHandles val="exact"/>
    </dgm:varLst>
    <dgm:alg type="composite">
      <dgm:param type="ar" val="1"/>
    </dgm:alg>
    <dgm:shape xmlns:r="http://schemas.openxmlformats.org/officeDocument/2006/relationships" r:blip="">
      <dgm:adjLst/>
    </dgm:shape>
    <dgm:presOf/>
    <dgm:constrLst>
      <dgm:constr type="h" for="ch" forName="parentComposite" refType="h" refFor="ch" refForName="dummyMaxCanvas" op="equ" fact="0.2"/>
      <dgm:constr type="t" for="ch" forName="parentComposite"/>
      <dgm:constr type="h" for="ch" forName="childrenComposite" refType="h" refFor="ch" refForName="dummyMaxCanvas" op="equ" fact="0.8"/>
      <dgm:constr type="t" for="ch" forName="childrenComposite" refType="h" refFor="ch" refForName="dummyMaxCanvas" fact="0.2"/>
    </dgm:constrLst>
    <dgm:ruleLst/>
    <dgm:layoutNode name="dummyMaxCanvas">
      <dgm:alg type="sp"/>
      <dgm:shape xmlns:r="http://schemas.openxmlformats.org/officeDocument/2006/relationships" r:blip="">
        <dgm:adjLst/>
      </dgm:shape>
      <dgm:presOf/>
      <dgm:constrLst/>
      <dgm:ruleLst/>
    </dgm:layoutNode>
    <dgm:layoutNode name="parentComposite">
      <dgm:alg type="composite"/>
      <dgm:shape xmlns:r="http://schemas.openxmlformats.org/officeDocument/2006/relationships" r:blip="">
        <dgm:adjLst/>
      </dgm:shape>
      <dgm:presOf/>
      <dgm:constrLst>
        <dgm:constr type="w" for="ch" forName="parent1" refType="w" fact="0.36"/>
        <dgm:constr type="ctrX" for="ch" forName="parent1" refType="w" fact="0.24"/>
        <dgm:constr type="w" for="ch" forName="parent2" refType="w" fact="0.36"/>
        <dgm:constr type="ctrX" for="ch" forName="parent2" refType="w" fact="0.76"/>
        <dgm:constr type="primFontSz" for="ch" ptType="node" op="equ"/>
      </dgm:constrLst>
      <dgm:ruleLst/>
      <dgm:layoutNode name="parent1" styleLbl="alignAccFollowNode1">
        <dgm:varLst>
          <dgm:chMax val="4"/>
        </dgm:varLst>
        <dgm:alg type="tx"/>
        <dgm:shape xmlns:r="http://schemas.openxmlformats.org/officeDocument/2006/relationships" type="roundRect" r:blip="">
          <dgm:adjLst>
            <dgm:adj idx="1" val="0.1"/>
          </dgm:adjLst>
        </dgm:shape>
        <dgm:presOf axis="ch" ptType="node" cnt="1"/>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arent2" styleLbl="alignAccFollowNode1">
        <dgm:varLst>
          <dgm:chMax val="4"/>
        </dgm:varLst>
        <dgm:alg type="tx"/>
        <dgm:shape xmlns:r="http://schemas.openxmlformats.org/officeDocument/2006/relationships" type="roundRect" r:blip="">
          <dgm:adjLst>
            <dgm:adj idx="1" val="0.1"/>
          </dgm:adjLst>
        </dgm:shape>
        <dgm:presOf axis="ch" ptType="node" st="2" cnt="1"/>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dgm:layoutNode name="childrenComposite">
      <dgm:alg type="composite"/>
      <dgm:shape xmlns:r="http://schemas.openxmlformats.org/officeDocument/2006/relationships" r:blip="">
        <dgm:adjLst/>
      </dgm:shape>
      <dgm:presOf/>
      <dgm:constrLst>
        <dgm:constr type="primFontSz" for="ch" ptType="node" op="equ" val="65"/>
        <dgm:constr type="w" for="ch" forName="fulcrum" refType="w" fact="0.15"/>
        <dgm:constr type="h" for="ch" forName="fulcrum" refType="w" refFor="ch" refForName="fulcrum"/>
        <dgm:constr type="b" for="ch" forName="fulcrum" refType="h"/>
        <dgm:constr type="ctrX" for="ch" forName="fulcrum" refType="w" fact="0.5"/>
        <dgm:constr type="w" for="ch" forName="balance_00" refType="w" fact="0.9"/>
        <dgm:constr type="h" for="ch" forName="balance_00" refType="h" fact="0.076"/>
        <dgm:constr type="b" for="ch" forName="balance_00" refType="h" fact="0.81"/>
        <dgm:constr type="ctrX" for="ch" forName="balance_00" refType="w" fact="0.5"/>
        <dgm:constr type="w" for="ch" forName="balance_01" refType="w"/>
        <dgm:constr type="h" for="ch" forName="balance_01" refType="h" fact="0.157"/>
        <dgm:constr type="b" for="ch" forName="balance_01" refType="h" fact="0.85"/>
        <dgm:constr type="ctrX" for="ch" forName="balance_01" refType="w" fact="0.5"/>
        <dgm:constr type="w" for="ch" forName="balance_02" refType="w"/>
        <dgm:constr type="h" for="ch" forName="balance_02" refType="h" fact="0.157"/>
        <dgm:constr type="b" for="ch" forName="balance_02" refType="h" fact="0.85"/>
        <dgm:constr type="ctrX" for="ch" forName="balance_02" refType="w" fact="0.5"/>
        <dgm:constr type="w" for="ch" forName="balance_03" refType="w"/>
        <dgm:constr type="h" for="ch" forName="balance_03" refType="h" fact="0.157"/>
        <dgm:constr type="b" for="ch" forName="balance_03" refType="h" fact="0.85"/>
        <dgm:constr type="ctrX" for="ch" forName="balance_03" refType="w" fact="0.5"/>
        <dgm:constr type="w" for="ch" forName="balance_04" refType="w"/>
        <dgm:constr type="h" for="ch" forName="balance_04" refType="h" fact="0.157"/>
        <dgm:constr type="b" for="ch" forName="balance_04" refType="h" fact="0.85"/>
        <dgm:constr type="ctrX" for="ch" forName="balance_04" refType="w" fact="0.5"/>
        <dgm:constr type="w" for="ch" forName="balance_10" refType="w"/>
        <dgm:constr type="h" for="ch" forName="balance_10" refType="h" fact="0.157"/>
        <dgm:constr type="b" for="ch" forName="balance_10" refType="h" fact="0.85"/>
        <dgm:constr type="ctrX" for="ch" forName="balance_10" refType="w" fact="0.5"/>
        <dgm:constr type="w" for="ch" forName="balance_11" refType="w" fact="0.9"/>
        <dgm:constr type="h" for="ch" forName="balance_11" refType="h" fact="0.076"/>
        <dgm:constr type="b" for="ch" forName="balance_11" refType="h" fact="0.81"/>
        <dgm:constr type="ctrX" for="ch" forName="balance_11" refType="w" fact="0.5"/>
        <dgm:constr type="w" for="ch" forName="balance_12" refType="w"/>
        <dgm:constr type="h" for="ch" forName="balance_12" refType="h" fact="0.157"/>
        <dgm:constr type="b" for="ch" forName="balance_12" refType="h" fact="0.85"/>
        <dgm:constr type="ctrX" for="ch" forName="balance_12" refType="w" fact="0.5"/>
        <dgm:constr type="w" for="ch" forName="balance_13" refType="w"/>
        <dgm:constr type="h" for="ch" forName="balance_13" refType="h" fact="0.157"/>
        <dgm:constr type="b" for="ch" forName="balance_13" refType="h" fact="0.85"/>
        <dgm:constr type="ctrX" for="ch" forName="balance_13" refType="w" fact="0.5"/>
        <dgm:constr type="w" for="ch" forName="balance_14" refType="w"/>
        <dgm:constr type="h" for="ch" forName="balance_14" refType="h" fact="0.157"/>
        <dgm:constr type="b" for="ch" forName="balance_14" refType="h" fact="0.85"/>
        <dgm:constr type="ctrX" for="ch" forName="balance_14" refType="w" fact="0.5"/>
        <dgm:constr type="w" for="ch" forName="balance_20" refType="w"/>
        <dgm:constr type="h" for="ch" forName="balance_20" refType="h" fact="0.157"/>
        <dgm:constr type="b" for="ch" forName="balance_20" refType="h" fact="0.85"/>
        <dgm:constr type="ctrX" for="ch" forName="balance_20" refType="w" fact="0.5"/>
        <dgm:constr type="w" for="ch" forName="balance_21" refType="w"/>
        <dgm:constr type="h" for="ch" forName="balance_21" refType="h" fact="0.157"/>
        <dgm:constr type="b" for="ch" forName="balance_21" refType="h" fact="0.85"/>
        <dgm:constr type="ctrX" for="ch" forName="balance_21" refType="w" fact="0.5"/>
        <dgm:constr type="w" for="ch" forName="balance_22" refType="w" fact="0.9"/>
        <dgm:constr type="h" for="ch" forName="balance_22" refType="h" fact="0.076"/>
        <dgm:constr type="b" for="ch" forName="balance_22" refType="h" fact="0.81"/>
        <dgm:constr type="ctrX" for="ch" forName="balance_22" refType="w" fact="0.5"/>
        <dgm:constr type="w" for="ch" forName="balance_23" refType="w"/>
        <dgm:constr type="h" for="ch" forName="balance_23" refType="h" fact="0.157"/>
        <dgm:constr type="b" for="ch" forName="balance_23" refType="h" fact="0.85"/>
        <dgm:constr type="ctrX" for="ch" forName="balance_23" refType="w" fact="0.5"/>
        <dgm:constr type="w" for="ch" forName="balance_24" refType="w"/>
        <dgm:constr type="h" for="ch" forName="balance_24" refType="h" fact="0.157"/>
        <dgm:constr type="b" for="ch" forName="balance_24" refType="h" fact="0.85"/>
        <dgm:constr type="ctrX" for="ch" forName="balance_24" refType="w" fact="0.5"/>
        <dgm:constr type="w" for="ch" forName="balance_30" refType="w"/>
        <dgm:constr type="h" for="ch" forName="balance_30" refType="h" fact="0.157"/>
        <dgm:constr type="b" for="ch" forName="balance_30" refType="h" fact="0.85"/>
        <dgm:constr type="ctrX" for="ch" forName="balance_30" refType="w" fact="0.5"/>
        <dgm:constr type="w" for="ch" forName="balance_31" refType="w"/>
        <dgm:constr type="h" for="ch" forName="balance_31" refType="h" fact="0.157"/>
        <dgm:constr type="b" for="ch" forName="balance_31" refType="h" fact="0.85"/>
        <dgm:constr type="ctrX" for="ch" forName="balance_31" refType="w" fact="0.5"/>
        <dgm:constr type="w" for="ch" forName="balance_32" refType="w"/>
        <dgm:constr type="h" for="ch" forName="balance_32" refType="h" fact="0.157"/>
        <dgm:constr type="b" for="ch" forName="balance_32" refType="h" fact="0.85"/>
        <dgm:constr type="ctrX" for="ch" forName="balance_32" refType="w" fact="0.5"/>
        <dgm:constr type="w" for="ch" forName="balance_33" refType="w" fact="0.9"/>
        <dgm:constr type="h" for="ch" forName="balance_33" refType="h" fact="0.076"/>
        <dgm:constr type="b" for="ch" forName="balance_33" refType="h" fact="0.81"/>
        <dgm:constr type="ctrX" for="ch" forName="balance_33" refType="w" fact="0.5"/>
        <dgm:constr type="w" for="ch" forName="balance_34" refType="w"/>
        <dgm:constr type="h" for="ch" forName="balance_34" refType="h" fact="0.157"/>
        <dgm:constr type="b" for="ch" forName="balance_34" refType="h" fact="0.85"/>
        <dgm:constr type="ctrX" for="ch" forName="balance_34" refType="w" fact="0.5"/>
        <dgm:constr type="w" for="ch" forName="balance_40" refType="w"/>
        <dgm:constr type="h" for="ch" forName="balance_40" refType="h" fact="0.157"/>
        <dgm:constr type="b" for="ch" forName="balance_40" refType="h" fact="0.85"/>
        <dgm:constr type="ctrX" for="ch" forName="balance_40" refType="w" fact="0.5"/>
        <dgm:constr type="w" for="ch" forName="balance_41" refType="w"/>
        <dgm:constr type="h" for="ch" forName="balance_41" refType="h" fact="0.157"/>
        <dgm:constr type="b" for="ch" forName="balance_41" refType="h" fact="0.85"/>
        <dgm:constr type="ctrX" for="ch" forName="balance_41" refType="w" fact="0.5"/>
        <dgm:constr type="w" for="ch" forName="balance_42" refType="w"/>
        <dgm:constr type="h" for="ch" forName="balance_42" refType="h" fact="0.157"/>
        <dgm:constr type="b" for="ch" forName="balance_42" refType="h" fact="0.85"/>
        <dgm:constr type="ctrX" for="ch" forName="balance_42" refType="w" fact="0.5"/>
        <dgm:constr type="w" for="ch" forName="balance_43" refType="w"/>
        <dgm:constr type="h" for="ch" forName="balance_43" refType="h" fact="0.157"/>
        <dgm:constr type="b" for="ch" forName="balance_43" refType="h" fact="0.85"/>
        <dgm:constr type="ctrX" for="ch" forName="balance_43" refType="w" fact="0.5"/>
        <dgm:constr type="w" for="ch" forName="balance_44" refType="w" fact="0.9"/>
        <dgm:constr type="h" for="ch" forName="balance_44" refType="h" fact="0.076"/>
        <dgm:constr type="b" for="ch" forName="balance_44" refType="h" fact="0.81"/>
        <dgm:constr type="ctrX" for="ch" forName="balance_44" refType="w" fact="0.5"/>
        <dgm:constr type="w" for="ch" forName="right_01_1" refType="w" fact="0.4"/>
        <dgm:constr type="h" for="ch" forName="right_01_1" refType="h" fact="0.7"/>
        <dgm:constr type="b" for="ch" forName="right_01_1" refType="h" fact="0.76"/>
        <dgm:constr type="ctrX" for="ch" forName="right_01_1" refType="w" fact="0.78"/>
        <dgm:constr type="w" for="ch" forName="left_10_1" refType="w" fact="0.4"/>
        <dgm:constr type="h" for="ch" forName="left_10_1" refType="h" fact="0.7"/>
        <dgm:constr type="b" for="ch" forName="left_10_1" refType="h" fact="0.76"/>
        <dgm:constr type="ctrX" for="ch" forName="left_10_1" refType="w" fact="0.22"/>
        <dgm:constr type="w" for="ch" forName="right_11_1" refType="w" fact="0.36"/>
        <dgm:constr type="h" for="ch" forName="right_11_1" refType="h" fact="0.67"/>
        <dgm:constr type="b" for="ch" forName="right_11_1" refType="h" fact="0.725"/>
        <dgm:constr type="ctrX" for="ch" forName="right_11_1" refType="w" fact="0.76"/>
        <dgm:constr type="w" for="ch" forName="left_11_1" refType="w" fact="0.36"/>
        <dgm:constr type="h" for="ch" forName="left_11_1" refType="h" fact="0.67"/>
        <dgm:constr type="b" for="ch" forName="left_11_1" refType="h" fact="0.725"/>
        <dgm:constr type="ctrX" for="ch" forName="left_11_1" refType="w" fact="0.24"/>
        <dgm:constr type="w" for="ch" forName="right_02_1" refType="w" fact="0.388"/>
        <dgm:constr type="h" for="ch" forName="right_02_1" refType="h" fact="0.36"/>
        <dgm:constr type="b" for="ch" forName="right_02_1" refType="h" fact="0.76"/>
        <dgm:constr type="ctrX" for="ch" forName="right_02_1" refType="w" fact="0.77"/>
        <dgm:constr type="w" for="ch" forName="right_02_2" refType="w" fact="0.388"/>
        <dgm:constr type="h" for="ch" forName="right_02_2" refType="h" fact="0.36"/>
        <dgm:constr type="b" for="ch" forName="right_02_2" refType="h" fact="0.42"/>
        <dgm:constr type="ctrX" for="ch" forName="right_02_2" refType="w" fact="0.79"/>
        <dgm:constr type="w" for="ch" forName="left_20_1" refType="w" fact="0.388"/>
        <dgm:constr type="h" for="ch" forName="left_20_1" refType="h" fact="0.36"/>
        <dgm:constr type="b" for="ch" forName="left_20_1" refType="h" fact="0.76"/>
        <dgm:constr type="ctrX" for="ch" forName="left_20_1" refType="w" fact="0.23"/>
        <dgm:constr type="w" for="ch" forName="left_20_2" refType="w" fact="0.388"/>
        <dgm:constr type="h" for="ch" forName="left_20_2" refType="h" fact="0.36"/>
        <dgm:constr type="b" for="ch" forName="left_20_2" refType="h" fact="0.42"/>
        <dgm:constr type="ctrX" for="ch" forName="left_20_2" refType="w" fact="0.21"/>
        <dgm:constr type="w" for="ch" forName="right_12_1" refType="w" fact="0.388"/>
        <dgm:constr type="h" for="ch" forName="right_12_1" refType="h" fact="0.36"/>
        <dgm:constr type="b" for="ch" forName="right_12_1" refType="h" fact="0.76"/>
        <dgm:constr type="ctrX" for="ch" forName="right_12_1" refType="w" fact="0.77"/>
        <dgm:constr type="w" for="ch" forName="right_12_2" refType="w" fact="0.388"/>
        <dgm:constr type="h" for="ch" forName="right_12_2" refType="h" fact="0.36"/>
        <dgm:constr type="b" for="ch" forName="right_12_2" refType="h" fact="0.42"/>
        <dgm:constr type="ctrX" for="ch" forName="right_12_2" refType="w" fact="0.79"/>
        <dgm:constr type="w" for="ch" forName="left_12_1" refType="w" fact="0.388"/>
        <dgm:constr type="h" for="ch" forName="left_12_1" refType="h" fact="0.36"/>
        <dgm:constr type="b" for="ch" forName="left_12_1" refType="h" fact="0.715"/>
        <dgm:constr type="ctrX" for="ch" forName="left_12_1" refType="w" fact="0.255"/>
        <dgm:constr type="w" for="ch" forName="right_22_1" refType="w" fact="0.36"/>
        <dgm:constr type="h" for="ch" forName="right_22_1" refType="h" fact="0.32"/>
        <dgm:constr type="b" for="ch" forName="right_22_1" refType="h" fact="0.725"/>
        <dgm:constr type="ctrX" for="ch" forName="right_22_1" refType="w" fact="0.76"/>
        <dgm:constr type="w" for="ch" forName="right_22_2" refType="w" fact="0.36"/>
        <dgm:constr type="h" for="ch" forName="right_22_2" refType="h" fact="0.32"/>
        <dgm:constr type="b" for="ch" forName="right_22_2" refType="h" fact="0.39"/>
        <dgm:constr type="ctrX" for="ch" forName="right_22_2" refType="w" fact="0.76"/>
        <dgm:constr type="w" for="ch" forName="left_22_1" refType="w" fact="0.36"/>
        <dgm:constr type="h" for="ch" forName="left_22_1" refType="h" fact="0.32"/>
        <dgm:constr type="b" for="ch" forName="left_22_1" refType="h" fact="0.725"/>
        <dgm:constr type="ctrX" for="ch" forName="left_22_1" refType="w" fact="0.24"/>
        <dgm:constr type="w" for="ch" forName="left_22_2" refType="w" fact="0.36"/>
        <dgm:constr type="h" for="ch" forName="left_22_2" refType="h" fact="0.32"/>
        <dgm:constr type="b" for="ch" forName="left_22_2" refType="h" fact="0.39"/>
        <dgm:constr type="ctrX" for="ch" forName="left_22_2" refType="w" fact="0.24"/>
        <dgm:constr type="w" for="ch" forName="left_21_1" refType="w" fact="0.388"/>
        <dgm:constr type="h" for="ch" forName="left_21_1" refType="h" fact="0.36"/>
        <dgm:constr type="b" for="ch" forName="left_21_1" refType="h" fact="0.76"/>
        <dgm:constr type="ctrX" for="ch" forName="left_21_1" refType="w" fact="0.23"/>
        <dgm:constr type="w" for="ch" forName="left_21_2" refType="w" fact="0.388"/>
        <dgm:constr type="h" for="ch" forName="left_21_2" refType="h" fact="0.36"/>
        <dgm:constr type="b" for="ch" forName="left_21_2" refType="h" fact="0.42"/>
        <dgm:constr type="ctrX" for="ch" forName="left_21_2" refType="w" fact="0.21"/>
        <dgm:constr type="w" for="ch" forName="right_21_1" refType="w" fact="0.388"/>
        <dgm:constr type="h" for="ch" forName="right_21_1" refType="h" fact="0.36"/>
        <dgm:constr type="b" for="ch" forName="right_21_1" refType="h" fact="0.715"/>
        <dgm:constr type="ctrX" for="ch" forName="right_21_1" refType="w" fact="0.745"/>
        <dgm:constr type="w" for="ch" forName="right_03_1" refType="w" fact="0.37"/>
        <dgm:constr type="h" for="ch" forName="right_03_1" refType="h" fact="0.24"/>
        <dgm:constr type="b" for="ch" forName="right_03_1" refType="h" fact="0.76"/>
        <dgm:constr type="ctrX" for="ch" forName="right_03_1" refType="w" fact="0.77"/>
        <dgm:constr type="w" for="ch" forName="right_03_2" refType="w" fact="0.37"/>
        <dgm:constr type="h" for="ch" forName="right_03_2" refType="h" fact="0.24"/>
        <dgm:constr type="b" for="ch" forName="right_03_2" refType="h" fact="0.535"/>
        <dgm:constr type="ctrX" for="ch" forName="right_03_2" refType="w" fact="0.783"/>
        <dgm:constr type="w" for="ch" forName="right_03_3" refType="w" fact="0.37"/>
        <dgm:constr type="h" for="ch" forName="right_03_3" refType="h" fact="0.24"/>
        <dgm:constr type="b" for="ch" forName="right_03_3" refType="h" fact="0.315"/>
        <dgm:constr type="ctrX" for="ch" forName="right_03_3" refType="w" fact="0.796"/>
        <dgm:constr type="w" for="ch" forName="left_30_1" refType="w" fact="0.37"/>
        <dgm:constr type="h" for="ch" forName="left_30_1" refType="h" fact="0.24"/>
        <dgm:constr type="b" for="ch" forName="left_30_1" refType="h" fact="0.76"/>
        <dgm:constr type="ctrX" for="ch" forName="left_30_1" refType="w" fact="0.23"/>
        <dgm:constr type="w" for="ch" forName="left_30_2" refType="w" fact="0.37"/>
        <dgm:constr type="h" for="ch" forName="left_30_2" refType="h" fact="0.24"/>
        <dgm:constr type="b" for="ch" forName="left_30_2" refType="h" fact="0.535"/>
        <dgm:constr type="ctrX" for="ch" forName="left_30_2" refType="w" fact="0.217"/>
        <dgm:constr type="w" for="ch" forName="left_30_3" refType="w" fact="0.37"/>
        <dgm:constr type="h" for="ch" forName="left_30_3" refType="h" fact="0.24"/>
        <dgm:constr type="b" for="ch" forName="left_30_3" refType="h" fact="0.315"/>
        <dgm:constr type="ctrX" for="ch" forName="left_30_3" refType="w" fact="0.204"/>
        <dgm:constr type="w" for="ch" forName="right_13_1" refType="w" fact="0.37"/>
        <dgm:constr type="h" for="ch" forName="right_13_1" refType="h" fact="0.24"/>
        <dgm:constr type="b" for="ch" forName="right_13_1" refType="h" fact="0.76"/>
        <dgm:constr type="ctrX" for="ch" forName="right_13_1" refType="w" fact="0.77"/>
        <dgm:constr type="w" for="ch" forName="right_13_2" refType="w" fact="0.37"/>
        <dgm:constr type="h" for="ch" forName="right_13_2" refType="h" fact="0.24"/>
        <dgm:constr type="b" for="ch" forName="right_13_2" refType="h" fact="0.535"/>
        <dgm:constr type="ctrX" for="ch" forName="right_13_2" refType="w" fact="0.783"/>
        <dgm:constr type="w" for="ch" forName="right_13_3" refType="w" fact="0.37"/>
        <dgm:constr type="h" for="ch" forName="right_13_3" refType="h" fact="0.24"/>
        <dgm:constr type="b" for="ch" forName="right_13_3" refType="h" fact="0.315"/>
        <dgm:constr type="ctrX" for="ch" forName="right_13_3" refType="w" fact="0.796"/>
        <dgm:constr type="w" for="ch" forName="left_13_1" refType="w" fact="0.37"/>
        <dgm:constr type="h" for="ch" forName="left_13_1" refType="h" fact="0.24"/>
        <dgm:constr type="b" for="ch" forName="left_13_1" refType="h" fact="0.715"/>
        <dgm:constr type="ctrX" for="ch" forName="left_13_1" refType="w" fact="0.255"/>
        <dgm:constr type="w" for="ch" forName="left_31_1" refType="w" fact="0.37"/>
        <dgm:constr type="h" for="ch" forName="left_31_1" refType="h" fact="0.24"/>
        <dgm:constr type="b" for="ch" forName="left_31_1" refType="h" fact="0.76"/>
        <dgm:constr type="ctrX" for="ch" forName="left_31_1" refType="w" fact="0.23"/>
        <dgm:constr type="w" for="ch" forName="left_31_2" refType="w" fact="0.37"/>
        <dgm:constr type="h" for="ch" forName="left_31_2" refType="h" fact="0.24"/>
        <dgm:constr type="b" for="ch" forName="left_31_2" refType="h" fact="0.535"/>
        <dgm:constr type="ctrX" for="ch" forName="left_31_2" refType="w" fact="0.217"/>
        <dgm:constr type="w" for="ch" forName="left_31_3" refType="w" fact="0.37"/>
        <dgm:constr type="h" for="ch" forName="left_31_3" refType="h" fact="0.24"/>
        <dgm:constr type="b" for="ch" forName="left_31_3" refType="h" fact="0.315"/>
        <dgm:constr type="ctrX" for="ch" forName="left_31_3" refType="w" fact="0.204"/>
        <dgm:constr type="w" for="ch" forName="right_31_1" refType="w" fact="0.37"/>
        <dgm:constr type="h" for="ch" forName="right_31_1" refType="h" fact="0.24"/>
        <dgm:constr type="b" for="ch" forName="right_31_1" refType="h" fact="0.715"/>
        <dgm:constr type="ctrX" for="ch" forName="right_31_1" refType="w" fact="0.745"/>
        <dgm:constr type="w" for="ch" forName="right_23_1" refType="w" fact="0.37"/>
        <dgm:constr type="h" for="ch" forName="right_23_1" refType="h" fact="0.24"/>
        <dgm:constr type="b" for="ch" forName="right_23_1" refType="h" fact="0.76"/>
        <dgm:constr type="ctrX" for="ch" forName="right_23_1" refType="w" fact="0.77"/>
        <dgm:constr type="w" for="ch" forName="right_23_2" refType="w" fact="0.37"/>
        <dgm:constr type="h" for="ch" forName="right_23_2" refType="h" fact="0.24"/>
        <dgm:constr type="b" for="ch" forName="right_23_2" refType="h" fact="0.535"/>
        <dgm:constr type="ctrX" for="ch" forName="right_23_2" refType="w" fact="0.783"/>
        <dgm:constr type="w" for="ch" forName="right_23_3" refType="w" fact="0.37"/>
        <dgm:constr type="h" for="ch" forName="right_23_3" refType="h" fact="0.24"/>
        <dgm:constr type="b" for="ch" forName="right_23_3" refType="h" fact="0.315"/>
        <dgm:constr type="ctrX" for="ch" forName="right_23_3" refType="w" fact="0.796"/>
        <dgm:constr type="w" for="ch" forName="left_23_1" refType="w" fact="0.37"/>
        <dgm:constr type="h" for="ch" forName="left_23_1" refType="h" fact="0.24"/>
        <dgm:constr type="b" for="ch" forName="left_23_1" refType="h" fact="0.715"/>
        <dgm:constr type="ctrX" for="ch" forName="left_23_1" refType="w" fact="0.255"/>
        <dgm:constr type="w" for="ch" forName="left_23_2" refType="w" fact="0.37"/>
        <dgm:constr type="h" for="ch" forName="left_23_2" refType="h" fact="0.24"/>
        <dgm:constr type="b" for="ch" forName="left_23_2" refType="h" fact="0.49"/>
        <dgm:constr type="ctrX" for="ch" forName="left_23_2" refType="w" fact="0.268"/>
        <dgm:constr type="w" for="ch" forName="left_32_1" refType="w" fact="0.37"/>
        <dgm:constr type="h" for="ch" forName="left_32_1" refType="h" fact="0.24"/>
        <dgm:constr type="b" for="ch" forName="left_32_1" refType="h" fact="0.76"/>
        <dgm:constr type="ctrX" for="ch" forName="left_32_1" refType="w" fact="0.23"/>
        <dgm:constr type="w" for="ch" forName="left_32_2" refType="w" fact="0.37"/>
        <dgm:constr type="h" for="ch" forName="left_32_2" refType="h" fact="0.24"/>
        <dgm:constr type="b" for="ch" forName="left_32_2" refType="h" fact="0.535"/>
        <dgm:constr type="ctrX" for="ch" forName="left_32_2" refType="w" fact="0.217"/>
        <dgm:constr type="w" for="ch" forName="left_32_3" refType="w" fact="0.37"/>
        <dgm:constr type="h" for="ch" forName="left_32_3" refType="h" fact="0.24"/>
        <dgm:constr type="b" for="ch" forName="left_32_3" refType="h" fact="0.315"/>
        <dgm:constr type="ctrX" for="ch" forName="left_32_3" refType="w" fact="0.204"/>
        <dgm:constr type="w" for="ch" forName="right_32_1" refType="w" fact="0.37"/>
        <dgm:constr type="h" for="ch" forName="right_32_1" refType="h" fact="0.24"/>
        <dgm:constr type="b" for="ch" forName="right_32_1" refType="h" fact="0.715"/>
        <dgm:constr type="ctrX" for="ch" forName="right_32_1" refType="w" fact="0.745"/>
        <dgm:constr type="w" for="ch" forName="right_32_2" refType="w" fact="0.37"/>
        <dgm:constr type="h" for="ch" forName="right_32_2" refType="h" fact="0.24"/>
        <dgm:constr type="b" for="ch" forName="right_32_2" refType="h" fact="0.49"/>
        <dgm:constr type="ctrX" for="ch" forName="right_32_2" refType="w" fact="0.732"/>
        <dgm:constr type="w" for="ch" forName="right_33_1" refType="w" fact="0.36"/>
        <dgm:constr type="h" for="ch" forName="right_33_1" refType="h" fact="0.21"/>
        <dgm:constr type="b" for="ch" forName="right_33_1" refType="h" fact="0.725"/>
        <dgm:constr type="ctrX" for="ch" forName="right_33_1" refType="w" fact="0.76"/>
        <dgm:constr type="w" for="ch" forName="right_33_2" refType="w" fact="0.36"/>
        <dgm:constr type="h" for="ch" forName="right_33_2" refType="h" fact="0.21"/>
        <dgm:constr type="b" for="ch" forName="right_33_2" refType="h" fact="0.5"/>
        <dgm:constr type="ctrX" for="ch" forName="right_33_2" refType="w" fact="0.76"/>
        <dgm:constr type="w" for="ch" forName="right_33_3" refType="w" fact="0.36"/>
        <dgm:constr type="h" for="ch" forName="right_33_3" refType="h" fact="0.21"/>
        <dgm:constr type="b" for="ch" forName="right_33_3" refType="h" fact="0.275"/>
        <dgm:constr type="ctrX" for="ch" forName="right_33_3" refType="w" fact="0.76"/>
        <dgm:constr type="w" for="ch" forName="left_33_1" refType="w" fact="0.36"/>
        <dgm:constr type="h" for="ch" forName="left_33_1" refType="h" fact="0.21"/>
        <dgm:constr type="b" for="ch" forName="left_33_1" refType="h" fact="0.725"/>
        <dgm:constr type="ctrX" for="ch" forName="left_33_1" refType="w" fact="0.24"/>
        <dgm:constr type="w" for="ch" forName="left_33_2" refType="w" fact="0.36"/>
        <dgm:constr type="h" for="ch" forName="left_33_2" refType="h" fact="0.21"/>
        <dgm:constr type="b" for="ch" forName="left_33_2" refType="h" fact="0.5"/>
        <dgm:constr type="ctrX" for="ch" forName="left_33_2" refType="w" fact="0.24"/>
        <dgm:constr type="w" for="ch" forName="left_33_3" refType="w" fact="0.36"/>
        <dgm:constr type="h" for="ch" forName="left_33_3" refType="h" fact="0.21"/>
        <dgm:constr type="b" for="ch" forName="left_33_3" refType="h" fact="0.275"/>
        <dgm:constr type="ctrX" for="ch" forName="left_33_3" refType="w" fact="0.24"/>
        <dgm:constr type="w" for="ch" forName="right_04_1" refType="w" fact="0.365"/>
        <dgm:constr type="h" for="ch" forName="right_04_1" refType="h" fact="0.185"/>
        <dgm:constr type="b" for="ch" forName="right_04_1" refType="h" fact="0.76"/>
        <dgm:constr type="ctrX" for="ch" forName="right_04_1" refType="w" fact="0.77"/>
        <dgm:constr type="w" for="ch" forName="right_04_2" refType="w" fact="0.365"/>
        <dgm:constr type="h" for="ch" forName="right_04_2" refType="h" fact="0.185"/>
        <dgm:constr type="b" for="ch" forName="right_04_2" refType="h" fact="0.595"/>
        <dgm:constr type="ctrX" for="ch" forName="right_04_2" refType="w" fact="0.78"/>
        <dgm:constr type="w" for="ch" forName="right_04_3" refType="w" fact="0.365"/>
        <dgm:constr type="h" for="ch" forName="right_04_3" refType="h" fact="0.185"/>
        <dgm:constr type="b" for="ch" forName="right_04_3" refType="h" fact="0.43"/>
        <dgm:constr type="ctrX" for="ch" forName="right_04_3" refType="w" fact="0.79"/>
        <dgm:constr type="w" for="ch" forName="right_04_4" refType="w" fact="0.365"/>
        <dgm:constr type="h" for="ch" forName="right_04_4" refType="h" fact="0.185"/>
        <dgm:constr type="b" for="ch" forName="right_04_4" refType="h" fact="0.265"/>
        <dgm:constr type="ctrX" for="ch" forName="right_04_4" refType="w" fact="0.8"/>
        <dgm:constr type="w" for="ch" forName="left_40_1" refType="w" fact="0.365"/>
        <dgm:constr type="h" for="ch" forName="left_40_1" refType="h" fact="0.185"/>
        <dgm:constr type="b" for="ch" forName="left_40_1" refType="h" fact="0.76"/>
        <dgm:constr type="ctrX" for="ch" forName="left_40_1" refType="w" fact="0.23"/>
        <dgm:constr type="w" for="ch" forName="left_40_2" refType="w" fact="0.365"/>
        <dgm:constr type="h" for="ch" forName="left_40_2" refType="h" fact="0.185"/>
        <dgm:constr type="b" for="ch" forName="left_40_2" refType="h" fact="0.595"/>
        <dgm:constr type="ctrX" for="ch" forName="left_40_2" refType="w" fact="0.22"/>
        <dgm:constr type="w" for="ch" forName="left_40_3" refType="w" fact="0.365"/>
        <dgm:constr type="h" for="ch" forName="left_40_3" refType="h" fact="0.185"/>
        <dgm:constr type="b" for="ch" forName="left_40_3" refType="h" fact="0.43"/>
        <dgm:constr type="ctrX" for="ch" forName="left_40_3" refType="w" fact="0.21"/>
        <dgm:constr type="w" for="ch" forName="left_40_4" refType="w" fact="0.365"/>
        <dgm:constr type="h" for="ch" forName="left_40_4" refType="h" fact="0.185"/>
        <dgm:constr type="b" for="ch" forName="left_40_4" refType="h" fact="0.265"/>
        <dgm:constr type="ctrX" for="ch" forName="left_40_4" refType="w" fact="0.2"/>
        <dgm:constr type="w" for="ch" forName="right_14_1" refType="w" fact="0.365"/>
        <dgm:constr type="h" for="ch" forName="right_14_1" refType="h" fact="0.185"/>
        <dgm:constr type="b" for="ch" forName="right_14_1" refType="h" fact="0.76"/>
        <dgm:constr type="ctrX" for="ch" forName="right_14_1" refType="w" fact="0.77"/>
        <dgm:constr type="w" for="ch" forName="right_14_2" refType="w" fact="0.365"/>
        <dgm:constr type="h" for="ch" forName="right_14_2" refType="h" fact="0.185"/>
        <dgm:constr type="b" for="ch" forName="right_14_2" refType="h" fact="0.595"/>
        <dgm:constr type="ctrX" for="ch" forName="right_14_2" refType="w" fact="0.78"/>
        <dgm:constr type="w" for="ch" forName="right_14_3" refType="w" fact="0.365"/>
        <dgm:constr type="h" for="ch" forName="right_14_3" refType="h" fact="0.185"/>
        <dgm:constr type="b" for="ch" forName="right_14_3" refType="h" fact="0.43"/>
        <dgm:constr type="ctrX" for="ch" forName="right_14_3" refType="w" fact="0.79"/>
        <dgm:constr type="w" for="ch" forName="right_14_4" refType="w" fact="0.365"/>
        <dgm:constr type="h" for="ch" forName="right_14_4" refType="h" fact="0.185"/>
        <dgm:constr type="b" for="ch" forName="right_14_4" refType="h" fact="0.265"/>
        <dgm:constr type="ctrX" for="ch" forName="right_14_4" refType="w" fact="0.8"/>
        <dgm:constr type="w" for="ch" forName="left_14_1" refType="w" fact="0.365"/>
        <dgm:constr type="h" for="ch" forName="left_14_1" refType="h" fact="0.185"/>
        <dgm:constr type="b" for="ch" forName="left_14_1" refType="h" fact="0.715"/>
        <dgm:constr type="ctrX" for="ch" forName="left_14_1" refType="w" fact="0.25"/>
        <dgm:constr type="w" for="ch" forName="left_41_1" refType="w" fact="0.365"/>
        <dgm:constr type="h" for="ch" forName="left_41_1" refType="h" fact="0.185"/>
        <dgm:constr type="b" for="ch" forName="left_41_1" refType="h" fact="0.76"/>
        <dgm:constr type="ctrX" for="ch" forName="left_41_1" refType="w" fact="0.23"/>
        <dgm:constr type="w" for="ch" forName="left_41_2" refType="w" fact="0.365"/>
        <dgm:constr type="h" for="ch" forName="left_41_2" refType="h" fact="0.185"/>
        <dgm:constr type="b" for="ch" forName="left_41_2" refType="h" fact="0.595"/>
        <dgm:constr type="ctrX" for="ch" forName="left_41_2" refType="w" fact="0.22"/>
        <dgm:constr type="w" for="ch" forName="left_41_3" refType="w" fact="0.365"/>
        <dgm:constr type="h" for="ch" forName="left_41_3" refType="h" fact="0.185"/>
        <dgm:constr type="b" for="ch" forName="left_41_3" refType="h" fact="0.43"/>
        <dgm:constr type="ctrX" for="ch" forName="left_41_3" refType="w" fact="0.21"/>
        <dgm:constr type="w" for="ch" forName="left_41_4" refType="w" fact="0.365"/>
        <dgm:constr type="h" for="ch" forName="left_41_4" refType="h" fact="0.185"/>
        <dgm:constr type="b" for="ch" forName="left_41_4" refType="h" fact="0.265"/>
        <dgm:constr type="ctrX" for="ch" forName="left_41_4" refType="w" fact="0.2"/>
        <dgm:constr type="w" for="ch" forName="right_41_1" refType="w" fact="0.365"/>
        <dgm:constr type="h" for="ch" forName="right_41_1" refType="h" fact="0.185"/>
        <dgm:constr type="b" for="ch" forName="right_41_1" refType="h" fact="0.715"/>
        <dgm:constr type="ctrX" for="ch" forName="right_41_1" refType="w" fact="0.75"/>
        <dgm:constr type="w" for="ch" forName="right_24_1" refType="w" fact="0.365"/>
        <dgm:constr type="h" for="ch" forName="right_24_1" refType="h" fact="0.185"/>
        <dgm:constr type="b" for="ch" forName="right_24_1" refType="h" fact="0.76"/>
        <dgm:constr type="ctrX" for="ch" forName="right_24_1" refType="w" fact="0.77"/>
        <dgm:constr type="w" for="ch" forName="right_24_2" refType="w" fact="0.365"/>
        <dgm:constr type="h" for="ch" forName="right_24_2" refType="h" fact="0.185"/>
        <dgm:constr type="b" for="ch" forName="right_24_2" refType="h" fact="0.595"/>
        <dgm:constr type="ctrX" for="ch" forName="right_24_2" refType="w" fact="0.78"/>
        <dgm:constr type="w" for="ch" forName="right_24_3" refType="w" fact="0.365"/>
        <dgm:constr type="h" for="ch" forName="right_24_3" refType="h" fact="0.185"/>
        <dgm:constr type="b" for="ch" forName="right_24_3" refType="h" fact="0.43"/>
        <dgm:constr type="ctrX" for="ch" forName="right_24_3" refType="w" fact="0.79"/>
        <dgm:constr type="w" for="ch" forName="right_24_4" refType="w" fact="0.365"/>
        <dgm:constr type="h" for="ch" forName="right_24_4" refType="h" fact="0.185"/>
        <dgm:constr type="b" for="ch" forName="right_24_4" refType="h" fact="0.265"/>
        <dgm:constr type="ctrX" for="ch" forName="right_24_4" refType="w" fact="0.8"/>
        <dgm:constr type="w" for="ch" forName="left_24_1" refType="w" fact="0.365"/>
        <dgm:constr type="h" for="ch" forName="left_24_1" refType="h" fact="0.185"/>
        <dgm:constr type="b" for="ch" forName="left_24_1" refType="h" fact="0.715"/>
        <dgm:constr type="ctrX" for="ch" forName="left_24_1" refType="w" fact="0.25"/>
        <dgm:constr type="w" for="ch" forName="left_24_2" refType="w" fact="0.365"/>
        <dgm:constr type="h" for="ch" forName="left_24_2" refType="h" fact="0.185"/>
        <dgm:constr type="b" for="ch" forName="left_24_2" refType="h" fact="0.55"/>
        <dgm:constr type="ctrX" for="ch" forName="left_24_2" refType="w" fact="0.26"/>
        <dgm:constr type="w" for="ch" forName="left_42_1" refType="w" fact="0.365"/>
        <dgm:constr type="h" for="ch" forName="left_42_1" refType="h" fact="0.185"/>
        <dgm:constr type="b" for="ch" forName="left_42_1" refType="h" fact="0.76"/>
        <dgm:constr type="ctrX" for="ch" forName="left_42_1" refType="w" fact="0.23"/>
        <dgm:constr type="w" for="ch" forName="left_42_2" refType="w" fact="0.365"/>
        <dgm:constr type="h" for="ch" forName="left_42_2" refType="h" fact="0.185"/>
        <dgm:constr type="b" for="ch" forName="left_42_2" refType="h" fact="0.595"/>
        <dgm:constr type="ctrX" for="ch" forName="left_42_2" refType="w" fact="0.22"/>
        <dgm:constr type="w" for="ch" forName="left_42_3" refType="w" fact="0.365"/>
        <dgm:constr type="h" for="ch" forName="left_42_3" refType="h" fact="0.185"/>
        <dgm:constr type="b" for="ch" forName="left_42_3" refType="h" fact="0.43"/>
        <dgm:constr type="ctrX" for="ch" forName="left_42_3" refType="w" fact="0.21"/>
        <dgm:constr type="w" for="ch" forName="left_42_4" refType="w" fact="0.365"/>
        <dgm:constr type="h" for="ch" forName="left_42_4" refType="h" fact="0.185"/>
        <dgm:constr type="b" for="ch" forName="left_42_4" refType="h" fact="0.265"/>
        <dgm:constr type="ctrX" for="ch" forName="left_42_4" refType="w" fact="0.2"/>
        <dgm:constr type="w" for="ch" forName="right_42_1" refType="w" fact="0.365"/>
        <dgm:constr type="h" for="ch" forName="right_42_1" refType="h" fact="0.185"/>
        <dgm:constr type="b" for="ch" forName="right_42_1" refType="h" fact="0.715"/>
        <dgm:constr type="ctrX" for="ch" forName="right_42_1" refType="w" fact="0.75"/>
        <dgm:constr type="w" for="ch" forName="right_42_2" refType="w" fact="0.365"/>
        <dgm:constr type="h" for="ch" forName="right_42_2" refType="h" fact="0.185"/>
        <dgm:constr type="b" for="ch" forName="right_42_2" refType="h" fact="0.55"/>
        <dgm:constr type="ctrX" for="ch" forName="right_42_2" refType="w" fact="0.74"/>
        <dgm:constr type="w" for="ch" forName="right_34_1" refType="w" fact="0.365"/>
        <dgm:constr type="h" for="ch" forName="right_34_1" refType="h" fact="0.185"/>
        <dgm:constr type="b" for="ch" forName="right_34_1" refType="h" fact="0.76"/>
        <dgm:constr type="ctrX" for="ch" forName="right_34_1" refType="w" fact="0.77"/>
        <dgm:constr type="w" for="ch" forName="right_34_2" refType="w" fact="0.365"/>
        <dgm:constr type="h" for="ch" forName="right_34_2" refType="h" fact="0.185"/>
        <dgm:constr type="b" for="ch" forName="right_34_2" refType="h" fact="0.595"/>
        <dgm:constr type="ctrX" for="ch" forName="right_34_2" refType="w" fact="0.78"/>
        <dgm:constr type="w" for="ch" forName="right_34_3" refType="w" fact="0.365"/>
        <dgm:constr type="h" for="ch" forName="right_34_3" refType="h" fact="0.185"/>
        <dgm:constr type="b" for="ch" forName="right_34_3" refType="h" fact="0.43"/>
        <dgm:constr type="ctrX" for="ch" forName="right_34_3" refType="w" fact="0.79"/>
        <dgm:constr type="w" for="ch" forName="right_34_4" refType="w" fact="0.365"/>
        <dgm:constr type="h" for="ch" forName="right_34_4" refType="h" fact="0.185"/>
        <dgm:constr type="b" for="ch" forName="right_34_4" refType="h" fact="0.265"/>
        <dgm:constr type="ctrX" for="ch" forName="right_34_4" refType="w" fact="0.8"/>
        <dgm:constr type="w" for="ch" forName="left_34_1" refType="w" fact="0.365"/>
        <dgm:constr type="h" for="ch" forName="left_34_1" refType="h" fact="0.185"/>
        <dgm:constr type="b" for="ch" forName="left_34_1" refType="h" fact="0.715"/>
        <dgm:constr type="ctrX" for="ch" forName="left_34_1" refType="w" fact="0.25"/>
        <dgm:constr type="w" for="ch" forName="left_34_2" refType="w" fact="0.365"/>
        <dgm:constr type="h" for="ch" forName="left_34_2" refType="h" fact="0.185"/>
        <dgm:constr type="b" for="ch" forName="left_34_2" refType="h" fact="0.55"/>
        <dgm:constr type="ctrX" for="ch" forName="left_34_2" refType="w" fact="0.26"/>
        <dgm:constr type="w" for="ch" forName="left_34_3" refType="w" fact="0.365"/>
        <dgm:constr type="h" for="ch" forName="left_34_3" refType="h" fact="0.185"/>
        <dgm:constr type="b" for="ch" forName="left_34_3" refType="h" fact="0.385"/>
        <dgm:constr type="ctrX" for="ch" forName="left_34_3" refType="w" fact="0.27"/>
        <dgm:constr type="w" for="ch" forName="left_43_1" refType="w" fact="0.365"/>
        <dgm:constr type="h" for="ch" forName="left_43_1" refType="h" fact="0.185"/>
        <dgm:constr type="b" for="ch" forName="left_43_1" refType="h" fact="0.76"/>
        <dgm:constr type="ctrX" for="ch" forName="left_43_1" refType="w" fact="0.23"/>
        <dgm:constr type="w" for="ch" forName="left_43_2" refType="w" fact="0.365"/>
        <dgm:constr type="h" for="ch" forName="left_43_2" refType="h" fact="0.185"/>
        <dgm:constr type="b" for="ch" forName="left_43_2" refType="h" fact="0.595"/>
        <dgm:constr type="ctrX" for="ch" forName="left_43_2" refType="w" fact="0.22"/>
        <dgm:constr type="w" for="ch" forName="left_43_3" refType="w" fact="0.365"/>
        <dgm:constr type="h" for="ch" forName="left_43_3" refType="h" fact="0.185"/>
        <dgm:constr type="b" for="ch" forName="left_43_3" refType="h" fact="0.43"/>
        <dgm:constr type="ctrX" for="ch" forName="left_43_3" refType="w" fact="0.21"/>
        <dgm:constr type="w" for="ch" forName="left_43_4" refType="w" fact="0.365"/>
        <dgm:constr type="h" for="ch" forName="left_43_4" refType="h" fact="0.185"/>
        <dgm:constr type="b" for="ch" forName="left_43_4" refType="h" fact="0.265"/>
        <dgm:constr type="ctrX" for="ch" forName="left_43_4" refType="w" fact="0.2"/>
        <dgm:constr type="w" for="ch" forName="right_43_1" refType="w" fact="0.365"/>
        <dgm:constr type="h" for="ch" forName="right_43_1" refType="h" fact="0.185"/>
        <dgm:constr type="b" for="ch" forName="right_43_1" refType="h" fact="0.715"/>
        <dgm:constr type="ctrX" for="ch" forName="right_43_1" refType="w" fact="0.75"/>
        <dgm:constr type="w" for="ch" forName="right_43_2" refType="w" fact="0.365"/>
        <dgm:constr type="h" for="ch" forName="right_43_2" refType="h" fact="0.185"/>
        <dgm:constr type="b" for="ch" forName="right_43_2" refType="h" fact="0.55"/>
        <dgm:constr type="ctrX" for="ch" forName="right_43_2" refType="w" fact="0.74"/>
        <dgm:constr type="w" for="ch" forName="right_43_3" refType="w" fact="0.365"/>
        <dgm:constr type="h" for="ch" forName="right_43_3" refType="h" fact="0.185"/>
        <dgm:constr type="b" for="ch" forName="right_43_3" refType="h" fact="0.385"/>
        <dgm:constr type="ctrX" for="ch" forName="right_43_3" refType="w" fact="0.73"/>
        <dgm:constr type="w" for="ch" forName="right_44_1" refType="w" fact="0.36"/>
        <dgm:constr type="h" for="ch" forName="right_44_1" refType="h" fact="0.154"/>
        <dgm:constr type="b" for="ch" forName="right_44_1" refType="h" fact="0.725"/>
        <dgm:constr type="ctrX" for="ch" forName="right_44_1" refType="w" fact="0.76"/>
        <dgm:constr type="w" for="ch" forName="right_44_2" refType="w" fact="0.36"/>
        <dgm:constr type="h" for="ch" forName="right_44_2" refType="h" fact="0.154"/>
        <dgm:constr type="b" for="ch" forName="right_44_2" refType="h" fact="0.559"/>
        <dgm:constr type="ctrX" for="ch" forName="right_44_2" refType="w" fact="0.76"/>
        <dgm:constr type="w" for="ch" forName="right_44_3" refType="w" fact="0.36"/>
        <dgm:constr type="h" for="ch" forName="right_44_3" refType="h" fact="0.154"/>
        <dgm:constr type="b" for="ch" forName="right_44_3" refType="h" fact="0.393"/>
        <dgm:constr type="ctrX" for="ch" forName="right_44_3" refType="w" fact="0.76"/>
        <dgm:constr type="w" for="ch" forName="right_44_4" refType="w" fact="0.36"/>
        <dgm:constr type="h" for="ch" forName="right_44_4" refType="h" fact="0.154"/>
        <dgm:constr type="b" for="ch" forName="right_44_4" refType="h" fact="0.224"/>
        <dgm:constr type="ctrX" for="ch" forName="right_44_4" refType="w" fact="0.76"/>
        <dgm:constr type="w" for="ch" forName="left_44_1" refType="w" fact="0.36"/>
        <dgm:constr type="h" for="ch" forName="left_44_1" refType="h" fact="0.154"/>
        <dgm:constr type="b" for="ch" forName="left_44_1" refType="h" fact="0.725"/>
        <dgm:constr type="ctrX" for="ch" forName="left_44_1" refType="w" fact="0.24"/>
        <dgm:constr type="w" for="ch" forName="left_44_2" refType="w" fact="0.36"/>
        <dgm:constr type="h" for="ch" forName="left_44_2" refType="h" fact="0.154"/>
        <dgm:constr type="b" for="ch" forName="left_44_2" refType="h" fact="0.559"/>
        <dgm:constr type="ctrX" for="ch" forName="left_44_2" refType="w" fact="0.24"/>
        <dgm:constr type="w" for="ch" forName="left_44_3" refType="w" fact="0.36"/>
        <dgm:constr type="h" for="ch" forName="left_44_3" refType="h" fact="0.154"/>
        <dgm:constr type="b" for="ch" forName="left_44_3" refType="h" fact="0.393"/>
        <dgm:constr type="ctrX" for="ch" forName="left_44_3" refType="w" fact="0.24"/>
        <dgm:constr type="w" for="ch" forName="left_44_4" refType="w" fact="0.36"/>
        <dgm:constr type="h" for="ch" forName="left_44_4" refType="h" fact="0.154"/>
        <dgm:constr type="b" for="ch" forName="left_44_4" refType="h" fact="0.224"/>
        <dgm:constr type="ctrX" for="ch" forName="left_44_4" refType="w" fact="0.24"/>
      </dgm:constrLst>
      <dgm:ruleLst/>
      <dgm:layoutNode name="dummyMaxCanvas_ChildArea">
        <dgm:alg type="sp"/>
        <dgm:shape xmlns:r="http://schemas.openxmlformats.org/officeDocument/2006/relationships" r:blip="">
          <dgm:adjLst/>
        </dgm:shape>
        <dgm:presOf/>
        <dgm:constrLst/>
        <dgm:ruleLst/>
      </dgm:layoutNode>
      <dgm:layoutNode name="fulcrum" styleLbl="alignAccFollowNode1">
        <dgm:alg type="sp"/>
        <dgm:shape xmlns:r="http://schemas.openxmlformats.org/officeDocument/2006/relationships" type="triangle" r:blip="">
          <dgm:adjLst/>
        </dgm:shape>
        <dgm:presOf/>
        <dgm:constrLst/>
        <dgm:ruleLst/>
      </dgm:layoutNode>
      <dgm:choose name="Name0">
        <dgm:if name="Name1" axis="ch ch" ptType="node node" st="1 1" cnt="1 0" func="cnt" op="equ" val="0">
          <dgm:choose name="Name2">
            <dgm:if name="Name3" axis="ch ch" ptType="node node" st="2 1" cnt="1 0" func="cnt" op="equ" val="0">
              <dgm:layoutNode name="balance_00" styleLbl="alignAccFollowNode1">
                <dgm:varLst>
                  <dgm:bulletEnabled val="1"/>
                </dgm:varLst>
                <dgm:alg type="sp"/>
                <dgm:shape xmlns:r="http://schemas.openxmlformats.org/officeDocument/2006/relationships" type="rect" r:blip="">
                  <dgm:adjLst/>
                </dgm:shape>
                <dgm:presOf/>
                <dgm:constrLst/>
                <dgm:ruleLst/>
              </dgm:layoutNode>
            </dgm:if>
            <dgm:else name="Name4">
              <dgm:choose name="Name5">
                <dgm:if name="Name6" axis="ch ch" ptType="node node" st="2 1" cnt="1 0" func="cnt" op="equ" val="1">
                  <dgm:layoutNode name="balance_01" styleLbl="alignAccFollowNode1">
                    <dgm:varLst>
                      <dgm:bulletEnabled val="1"/>
                    </dgm:varLst>
                    <dgm:alg type="sp"/>
                    <dgm:shape xmlns:r="http://schemas.openxmlformats.org/officeDocument/2006/relationships" rot="4" type="rect" r:blip="">
                      <dgm:adjLst/>
                    </dgm:shape>
                    <dgm:presOf/>
                    <dgm:constrLst/>
                    <dgm:ruleLst/>
                  </dgm:layoutNode>
                  <dgm:layoutNode name="right_0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
                  <dgm:choose name="Name8">
                    <dgm:if name="Name9" axis="ch ch" ptType="node node" st="2 1" cnt="1 0" func="cnt" op="equ" val="2">
                      <dgm:layoutNode name="balance_02" styleLbl="alignAccFollowNode1">
                        <dgm:varLst>
                          <dgm:bulletEnabled val="1"/>
                        </dgm:varLst>
                        <dgm:alg type="sp"/>
                        <dgm:shape xmlns:r="http://schemas.openxmlformats.org/officeDocument/2006/relationships" rot="4" type="rect" r:blip="">
                          <dgm:adjLst/>
                        </dgm:shape>
                        <dgm:presOf/>
                        <dgm:constrLst/>
                        <dgm:ruleLst/>
                      </dgm:layoutNode>
                      <dgm:layoutNode name="right_0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0">
                      <dgm:choose name="Name11">
                        <dgm:if name="Name12" axis="ch ch" ptType="node node" st="2 1" cnt="1 0" func="cnt" op="equ" val="3">
                          <dgm:layoutNode name="balance_03" styleLbl="alignAccFollowNode1">
                            <dgm:varLst>
                              <dgm:bulletEnabled val="1"/>
                            </dgm:varLst>
                            <dgm:alg type="sp"/>
                            <dgm:shape xmlns:r="http://schemas.openxmlformats.org/officeDocument/2006/relationships" rot="4" type="rect" r:blip="">
                              <dgm:adjLst/>
                            </dgm:shape>
                            <dgm:presOf/>
                            <dgm:constrLst/>
                            <dgm:ruleLst/>
                          </dgm:layoutNode>
                          <dgm:layoutNode name="right_0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3">
                          <dgm:choose name="Name14">
                            <dgm:if name="Name15" axis="ch ch" ptType="node node" st="2 1" cnt="1 0" func="cnt" op="gte" val="4">
                              <dgm:layoutNode name="balance_04" styleLbl="alignAccFollowNode1">
                                <dgm:varLst>
                                  <dgm:bulletEnabled val="1"/>
                                </dgm:varLst>
                                <dgm:alg type="sp"/>
                                <dgm:shape xmlns:r="http://schemas.openxmlformats.org/officeDocument/2006/relationships" rot="4" type="rect" r:blip="">
                                  <dgm:adjLst/>
                                </dgm:shape>
                                <dgm:presOf/>
                                <dgm:constrLst/>
                                <dgm:ruleLst/>
                              </dgm:layoutNode>
                              <dgm:layoutNode name="right_0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6"/>
                          </dgm:choose>
                        </dgm:else>
                      </dgm:choose>
                    </dgm:else>
                  </dgm:choose>
                </dgm:else>
              </dgm:choose>
            </dgm:else>
          </dgm:choose>
        </dgm:if>
        <dgm:else name="Name17">
          <dgm:choose name="Name18">
            <dgm:if name="Name19" axis="ch ch" ptType="node node" st="1 1" cnt="1 0" func="cnt" op="equ" val="1">
              <dgm:choose name="Name20">
                <dgm:if name="Name21" axis="ch ch" ptType="node node" st="2 1" cnt="1 0" func="cnt" op="equ" val="0">
                  <dgm:layoutNode name="balance_10" styleLbl="alignAccFollowNode1">
                    <dgm:varLst>
                      <dgm:bulletEnabled val="1"/>
                    </dgm:varLst>
                    <dgm:alg type="sp"/>
                    <dgm:shape xmlns:r="http://schemas.openxmlformats.org/officeDocument/2006/relationships" rot="-4" type="rect" r:blip="">
                      <dgm:adjLst/>
                    </dgm:shape>
                    <dgm:presOf/>
                    <dgm:constrLst/>
                    <dgm:ruleLst/>
                  </dgm:layoutNode>
                  <dgm:layoutNode name="left_1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2">
                  <dgm:choose name="Name23">
                    <dgm:if name="Name24" axis="ch ch" ptType="node node" st="2 1" cnt="1 0" func="cnt" op="equ" val="1">
                      <dgm:layoutNode name="balance_11" styleLbl="alignAccFollowNode1">
                        <dgm:varLst>
                          <dgm:bulletEnabled val="1"/>
                        </dgm:varLst>
                        <dgm:alg type="sp"/>
                        <dgm:shape xmlns:r="http://schemas.openxmlformats.org/officeDocument/2006/relationships" type="rect" r:blip="">
                          <dgm:adjLst/>
                        </dgm:shape>
                        <dgm:presOf/>
                        <dgm:constrLst/>
                        <dgm:ruleLst/>
                      </dgm:layoutNode>
                      <dgm:layoutNode name="left_11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1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5">
                      <dgm:choose name="Name26">
                        <dgm:if name="Name27" axis="ch ch" ptType="node node" st="2 1" cnt="1 0" func="cnt" op="equ" val="2">
                          <dgm:layoutNode name="balance_12" styleLbl="alignAccFollowNode1">
                            <dgm:varLst>
                              <dgm:bulletEnabled val="1"/>
                            </dgm:varLst>
                            <dgm:alg type="sp"/>
                            <dgm:shape xmlns:r="http://schemas.openxmlformats.org/officeDocument/2006/relationships" rot="4" type="rect" r:blip="">
                              <dgm:adjLst/>
                            </dgm:shape>
                            <dgm:presOf/>
                            <dgm:constrLst/>
                            <dgm:ruleLst/>
                          </dgm:layoutNode>
                          <dgm:layoutNode name="right_1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8">
                          <dgm:choose name="Name29">
                            <dgm:if name="Name30" axis="ch ch" ptType="node node" st="2 1" cnt="1 0" func="cnt" op="equ" val="3">
                              <dgm:layoutNode name="balance_13" styleLbl="alignAccFollowNode1">
                                <dgm:varLst>
                                  <dgm:bulletEnabled val="1"/>
                                </dgm:varLst>
                                <dgm:alg type="sp"/>
                                <dgm:shape xmlns:r="http://schemas.openxmlformats.org/officeDocument/2006/relationships" rot="4" type="rect" r:blip="">
                                  <dgm:adjLst/>
                                </dgm:shape>
                                <dgm:presOf/>
                                <dgm:constrLst/>
                                <dgm:ruleLst/>
                              </dgm:layoutNode>
                              <dgm:layoutNode name="right_1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1">
                              <dgm:choose name="Name32">
                                <dgm:if name="Name33" axis="ch ch" ptType="node node" st="2 1" cnt="1 0" func="cnt" op="gte" val="4">
                                  <dgm:layoutNode name="balance_14" styleLbl="alignAccFollowNode1">
                                    <dgm:varLst>
                                      <dgm:bulletEnabled val="1"/>
                                    </dgm:varLst>
                                    <dgm:alg type="sp"/>
                                    <dgm:shape xmlns:r="http://schemas.openxmlformats.org/officeDocument/2006/relationships" rot="4" type="rect" r:blip="">
                                      <dgm:adjLst/>
                                    </dgm:shape>
                                    <dgm:presOf/>
                                    <dgm:constrLst/>
                                    <dgm:ruleLst/>
                                  </dgm:layoutNode>
                                  <dgm:layoutNode name="right_1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4"/>
                              </dgm:choose>
                            </dgm:else>
                          </dgm:choose>
                        </dgm:else>
                      </dgm:choose>
                    </dgm:else>
                  </dgm:choose>
                </dgm:else>
              </dgm:choose>
            </dgm:if>
            <dgm:else name="Name35">
              <dgm:choose name="Name36">
                <dgm:if name="Name37" axis="ch ch" ptType="node node" st="1 1" cnt="1 0" func="cnt" op="equ" val="2">
                  <dgm:choose name="Name38">
                    <dgm:if name="Name39" axis="ch ch" ptType="node node" st="2 1" cnt="1 0" func="cnt" op="equ" val="0">
                      <dgm:layoutNode name="balance_20" styleLbl="alignAccFollowNode1">
                        <dgm:varLst>
                          <dgm:bulletEnabled val="1"/>
                        </dgm:varLst>
                        <dgm:alg type="sp"/>
                        <dgm:shape xmlns:r="http://schemas.openxmlformats.org/officeDocument/2006/relationships" rot="-4" type="rect" r:blip="">
                          <dgm:adjLst/>
                        </dgm:shape>
                        <dgm:presOf/>
                        <dgm:constrLst/>
                        <dgm:ruleLst/>
                      </dgm:layoutNode>
                      <dgm:layoutNode name="left_2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0">
                      <dgm:choose name="Name41">
                        <dgm:if name="Name42" axis="ch ch" ptType="node node" st="2 1" cnt="1 0" func="cnt" op="equ" val="1">
                          <dgm:layoutNode name="balance_21" styleLbl="alignAccFollowNode1">
                            <dgm:varLst>
                              <dgm:bulletEnabled val="1"/>
                            </dgm:varLst>
                            <dgm:alg type="sp"/>
                            <dgm:shape xmlns:r="http://schemas.openxmlformats.org/officeDocument/2006/relationships" rot="-4" type="rect" r:blip="">
                              <dgm:adjLst/>
                            </dgm:shape>
                            <dgm:presOf/>
                            <dgm:constrLst/>
                            <dgm:ruleLst/>
                          </dgm:layoutNode>
                          <dgm:layoutNode name="left_2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3">
                          <dgm:choose name="Name44">
                            <dgm:if name="Name45" axis="ch ch" ptType="node node" st="2 1" cnt="1 0" func="cnt" op="equ" val="2">
                              <dgm:layoutNode name="balance_22" styleLbl="alignAccFollowNode1">
                                <dgm:varLst>
                                  <dgm:bulletEnabled val="1"/>
                                </dgm:varLst>
                                <dgm:alg type="sp"/>
                                <dgm:shape xmlns:r="http://schemas.openxmlformats.org/officeDocument/2006/relationships" type="rect" r:blip="">
                                  <dgm:adjLst/>
                                </dgm:shape>
                                <dgm:presOf/>
                                <dgm:constrLst/>
                                <dgm:ruleLst/>
                              </dgm:layoutNode>
                              <dgm:layoutNode name="right_22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2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2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2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6">
                              <dgm:choose name="Name47">
                                <dgm:if name="Name48" axis="ch ch" ptType="node node" st="2 1" cnt="1 0" func="cnt" op="equ" val="3">
                                  <dgm:layoutNode name="balance_23" styleLbl="alignAccFollowNode1">
                                    <dgm:varLst>
                                      <dgm:bulletEnabled val="1"/>
                                    </dgm:varLst>
                                    <dgm:alg type="sp"/>
                                    <dgm:shape xmlns:r="http://schemas.openxmlformats.org/officeDocument/2006/relationships" rot="4" type="rect" r:blip="">
                                      <dgm:adjLst/>
                                    </dgm:shape>
                                    <dgm:presOf/>
                                    <dgm:constrLst/>
                                    <dgm:ruleLst/>
                                  </dgm:layoutNode>
                                  <dgm:layoutNode name="right_2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3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9">
                                  <dgm:choose name="Name50">
                                    <dgm:if name="Name51" axis="ch ch" ptType="node node" st="2 1" cnt="1 0" func="cnt" op="gte" val="4">
                                      <dgm:layoutNode name="balance_24" styleLbl="alignAccFollowNode1">
                                        <dgm:varLst>
                                          <dgm:bulletEnabled val="1"/>
                                        </dgm:varLst>
                                        <dgm:alg type="sp"/>
                                        <dgm:shape xmlns:r="http://schemas.openxmlformats.org/officeDocument/2006/relationships" rot="4" type="rect" r:blip="">
                                          <dgm:adjLst/>
                                        </dgm:shape>
                                        <dgm:presOf/>
                                        <dgm:constrLst/>
                                        <dgm:ruleLst/>
                                      </dgm:layoutNode>
                                      <dgm:layoutNode name="right_2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4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2"/>
                                  </dgm:choose>
                                </dgm:else>
                              </dgm:choose>
                            </dgm:else>
                          </dgm:choose>
                        </dgm:else>
                      </dgm:choose>
                    </dgm:else>
                  </dgm:choose>
                </dgm:if>
                <dgm:else name="Name53">
                  <dgm:choose name="Name54">
                    <dgm:if name="Name55" axis="ch ch" ptType="node node" st="1 1" cnt="1 0" func="cnt" op="equ" val="3">
                      <dgm:choose name="Name56">
                        <dgm:if name="Name57" axis="ch ch" ptType="node node" st="2 1" cnt="1 0" func="cnt" op="equ" val="0">
                          <dgm:layoutNode name="balance_30" styleLbl="alignAccFollowNode1">
                            <dgm:varLst>
                              <dgm:bulletEnabled val="1"/>
                            </dgm:varLst>
                            <dgm:alg type="sp"/>
                            <dgm:shape xmlns:r="http://schemas.openxmlformats.org/officeDocument/2006/relationships" rot="-4" type="rect" r:blip="">
                              <dgm:adjLst/>
                            </dgm:shape>
                            <dgm:presOf/>
                            <dgm:constrLst/>
                            <dgm:ruleLst/>
                          </dgm:layoutNode>
                          <dgm:layoutNode name="left_3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0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name="Name59">
                            <dgm:if name="Name60" axis="ch ch" ptType="node node" st="2 1" cnt="1 0" func="cnt" op="equ" val="1">
                              <dgm:layoutNode name="balance_31" styleLbl="alignAccFollowNode1">
                                <dgm:varLst>
                                  <dgm:bulletEnabled val="1"/>
                                </dgm:varLst>
                                <dgm:alg type="sp"/>
                                <dgm:shape xmlns:r="http://schemas.openxmlformats.org/officeDocument/2006/relationships" rot="-4" type="rect" r:blip="">
                                  <dgm:adjLst/>
                                </dgm:shape>
                                <dgm:presOf/>
                                <dgm:constrLst/>
                                <dgm:ruleLst/>
                              </dgm:layoutNode>
                              <dgm:layoutNode name="left_3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1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1">
                              <dgm:choose name="Name62">
                                <dgm:if name="Name63" axis="ch ch" ptType="node node" st="2 1" cnt="1 0" func="cnt" op="equ" val="2">
                                  <dgm:layoutNode name="balance_32" styleLbl="alignAccFollowNode1">
                                    <dgm:varLst>
                                      <dgm:bulletEnabled val="1"/>
                                    </dgm:varLst>
                                    <dgm:alg type="sp"/>
                                    <dgm:shape xmlns:r="http://schemas.openxmlformats.org/officeDocument/2006/relationships" rot="-4" type="rect" r:blip="">
                                      <dgm:adjLst/>
                                    </dgm:shape>
                                    <dgm:presOf/>
                                    <dgm:constrLst/>
                                    <dgm:ruleLst/>
                                  </dgm:layoutNode>
                                  <dgm:layoutNode name="left_3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2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2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4">
                                  <dgm:choose name="Name65">
                                    <dgm:if name="Name66" axis="ch ch" ptType="node node" st="2 1" cnt="1 0" func="cnt" op="equ" val="3">
                                      <dgm:layoutNode name="balance_33" styleLbl="alignAccFollowNode1">
                                        <dgm:varLst>
                                          <dgm:bulletEnabled val="1"/>
                                        </dgm:varLst>
                                        <dgm:alg type="sp"/>
                                        <dgm:shape xmlns:r="http://schemas.openxmlformats.org/officeDocument/2006/relationships" type="rect" r:blip="">
                                          <dgm:adjLst/>
                                        </dgm:shape>
                                        <dgm:presOf/>
                                        <dgm:constrLst/>
                                        <dgm:ruleLst/>
                                      </dgm:layoutNode>
                                      <dgm:layoutNode name="right_33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3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3_3" styleLbl="node1">
                                        <dgm:varLst>
                                          <dgm:bulletEnabled val="1"/>
                                        </dgm:varLst>
                                        <dgm:alg type="tx"/>
                                        <dgm:shape xmlns:r="http://schemas.openxmlformats.org/officeDocument/2006/relationships"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3" styleLbl="node1">
                                        <dgm:varLst>
                                          <dgm:bulletEnabled val="1"/>
                                        </dgm:varLst>
                                        <dgm:alg type="tx"/>
                                        <dgm:shape xmlns:r="http://schemas.openxmlformats.org/officeDocument/2006/relationships"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7">
                                      <dgm:choose name="Name68">
                                        <dgm:if name="Name69" axis="ch ch" ptType="node node" st="2 1" cnt="1 0" func="cnt" op="gte" val="4">
                                          <dgm:layoutNode name="balance_34" styleLbl="alignAccFollowNode1">
                                            <dgm:varLst>
                                              <dgm:bulletEnabled val="1"/>
                                            </dgm:varLst>
                                            <dgm:alg type="sp"/>
                                            <dgm:shape xmlns:r="http://schemas.openxmlformats.org/officeDocument/2006/relationships" rot="4" type="rect" r:blip="">
                                              <dgm:adjLst/>
                                            </dgm:shape>
                                            <dgm:presOf/>
                                            <dgm:constrLst/>
                                            <dgm:ruleLst/>
                                          </dgm:layoutNode>
                                          <dgm:layoutNode name="right_3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0"/>
                                      </dgm:choose>
                                    </dgm:else>
                                  </dgm:choose>
                                </dgm:else>
                              </dgm:choose>
                            </dgm:else>
                          </dgm:choose>
                        </dgm:else>
                      </dgm:choose>
                    </dgm:if>
                    <dgm:else name="Name71">
                      <dgm:choose name="Name72">
                        <dgm:if name="Name73" axis="ch ch" ptType="node node" st="1 1" cnt="1 0" func="cnt" op="gte" val="4">
                          <dgm:choose name="Name74">
                            <dgm:if name="Name75" axis="ch ch" ptType="node node" st="2 1" cnt="1 0" func="cnt" op="equ" val="0">
                              <dgm:layoutNode name="balance_40" styleLbl="alignAccFollowNode1">
                                <dgm:varLst>
                                  <dgm:bulletEnabled val="1"/>
                                </dgm:varLst>
                                <dgm:alg type="sp"/>
                                <dgm:shape xmlns:r="http://schemas.openxmlformats.org/officeDocument/2006/relationships" rot="-4" type="rect" r:blip="">
                                  <dgm:adjLst/>
                                </dgm:shape>
                                <dgm:presOf/>
                                <dgm:constrLst/>
                                <dgm:ruleLst/>
                              </dgm:layoutNode>
                              <dgm:layoutNode name="left_4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6">
                              <dgm:choose name="Name77">
                                <dgm:if name="Name78" axis="ch ch" ptType="node node" st="2 1" cnt="1 0" func="cnt" op="equ" val="1">
                                  <dgm:layoutNode name="balance_41" styleLbl="alignAccFollowNode1">
                                    <dgm:varLst>
                                      <dgm:bulletEnabled val="1"/>
                                    </dgm:varLst>
                                    <dgm:alg type="sp"/>
                                    <dgm:shape xmlns:r="http://schemas.openxmlformats.org/officeDocument/2006/relationships" rot="-4" type="rect" r:blip="">
                                      <dgm:adjLst/>
                                    </dgm:shape>
                                    <dgm:presOf/>
                                    <dgm:constrLst/>
                                    <dgm:ruleLst/>
                                  </dgm:layoutNode>
                                  <dgm:layoutNode name="left_4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name="Name80">
                                    <dgm:if name="Name81" axis="ch ch" ptType="node node" st="2 1" cnt="1 0" func="cnt" op="equ" val="2">
                                      <dgm:layoutNode name="balance_42" styleLbl="alignAccFollowNode1">
                                        <dgm:varLst>
                                          <dgm:bulletEnabled val="1"/>
                                        </dgm:varLst>
                                        <dgm:alg type="sp"/>
                                        <dgm:shape xmlns:r="http://schemas.openxmlformats.org/officeDocument/2006/relationships" rot="-4" type="rect" r:blip="">
                                          <dgm:adjLst/>
                                        </dgm:shape>
                                        <dgm:presOf/>
                                        <dgm:constrLst/>
                                        <dgm:ruleLst/>
                                      </dgm:layoutNode>
                                      <dgm:layoutNode name="left_4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2">
                                      <dgm:choose name="Name83">
                                        <dgm:if name="Name84" axis="ch ch" ptType="node node" st="2 1" cnt="1 0" func="cnt" op="equ" val="3">
                                          <dgm:layoutNode name="balance_43" styleLbl="alignAccFollowNode1">
                                            <dgm:varLst>
                                              <dgm:bulletEnabled val="1"/>
                                            </dgm:varLst>
                                            <dgm:alg type="sp"/>
                                            <dgm:shape xmlns:r="http://schemas.openxmlformats.org/officeDocument/2006/relationships" rot="-4" type="rect" r:blip="">
                                              <dgm:adjLst/>
                                            </dgm:shape>
                                            <dgm:presOf/>
                                            <dgm:constrLst/>
                                            <dgm:ruleLst/>
                                          </dgm:layoutNode>
                                          <dgm:layoutNode name="left_4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5">
                                          <dgm:choose name="Name86">
                                            <dgm:if name="Name87" axis="ch ch" ptType="node node" st="2 1" cnt="1 0" func="cnt" op="gte" val="4">
                                              <dgm:layoutNode name="balance_44" styleLbl="alignAccFollowNode1">
                                                <dgm:varLst>
                                                  <dgm:bulletEnabled val="1"/>
                                                </dgm:varLst>
                                                <dgm:alg type="sp"/>
                                                <dgm:shape xmlns:r="http://schemas.openxmlformats.org/officeDocument/2006/relationships" type="rect" r:blip="">
                                                  <dgm:adjLst/>
                                                </dgm:shape>
                                                <dgm:presOf/>
                                                <dgm:constrLst/>
                                                <dgm:ruleLst/>
                                              </dgm:layoutNode>
                                              <dgm:layoutNode name="right_44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3" styleLbl="node1">
                                                <dgm:varLst>
                                                  <dgm:bulletEnabled val="1"/>
                                                </dgm:varLst>
                                                <dgm:alg type="tx"/>
                                                <dgm:shape xmlns:r="http://schemas.openxmlformats.org/officeDocument/2006/relationships"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4" styleLbl="node1">
                                                <dgm:varLst>
                                                  <dgm:bulletEnabled val="1"/>
                                                </dgm:varLst>
                                                <dgm:alg type="tx"/>
                                                <dgm:shape xmlns:r="http://schemas.openxmlformats.org/officeDocument/2006/relationships"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3" styleLbl="node1">
                                                <dgm:varLst>
                                                  <dgm:bulletEnabled val="1"/>
                                                </dgm:varLst>
                                                <dgm:alg type="tx"/>
                                                <dgm:shape xmlns:r="http://schemas.openxmlformats.org/officeDocument/2006/relationships"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4" styleLbl="node1">
                                                <dgm:varLst>
                                                  <dgm:bulletEnabled val="1"/>
                                                </dgm:varLst>
                                                <dgm:alg type="tx"/>
                                                <dgm:shape xmlns:r="http://schemas.openxmlformats.org/officeDocument/2006/relationships"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8"/>
                                          </dgm:choose>
                                        </dgm:else>
                                      </dgm:choose>
                                    </dgm:else>
                                  </dgm:choose>
                                </dgm:else>
                              </dgm:choose>
                            </dgm:else>
                          </dgm:choose>
                        </dgm:if>
                        <dgm:else name="Name89"/>
                      </dgm:choose>
                    </dgm:else>
                  </dgm:choose>
                </dgm:else>
              </dgm:choose>
            </dgm:else>
          </dgm:choose>
        </dgm:else>
      </dgm:choose>
    </dgm:layoutNode>
  </dgm:layoutNode>
</dgm:layoutDef>
</file>

<file path=word/diagrams/layout2.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layout3.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layout4.xml><?xml version="1.0" encoding="utf-8"?>
<dgm:layoutDef xmlns:dgm="http://schemas.openxmlformats.org/drawingml/2006/diagram" xmlns:a="http://schemas.openxmlformats.org/drawingml/2006/main" uniqueId="urn:microsoft.com/office/officeart/2005/8/layout/funnel1">
  <dgm:title val=""/>
  <dgm:desc val=""/>
  <dgm:catLst>
    <dgm:cat type="relationship" pri="2000"/>
    <dgm:cat type="process" pri="27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4"/>
      <dgm:resizeHandles val="exact"/>
    </dgm:varLst>
    <dgm:alg type="composite">
      <dgm:param type="ar" val="1.25"/>
    </dgm:alg>
    <dgm:shape xmlns:r="http://schemas.openxmlformats.org/officeDocument/2006/relationships" r:blip="">
      <dgm:adjLst/>
    </dgm:shape>
    <dgm:presOf/>
    <dgm:choose name="Name1">
      <dgm:if name="Name2" axis="ch" ptType="node" func="cnt" op="equ" val="2">
        <dgm:constrLst>
          <dgm:constr type="w" for="ch" forName="ellipse" refType="w" fact="0.645"/>
          <dgm:constr type="h" for="ch" forName="ellipse" refType="h" fact="0.28"/>
          <dgm:constr type="t" for="ch" forName="ellipse" refType="w" fact="0.0275"/>
          <dgm:constr type="l" for="ch" forName="ellipse" refType="w" fact="0.0265"/>
          <dgm:constr type="w" for="ch" forName="arrow1" refType="w" fact="0.125"/>
          <dgm:constr type="h" for="ch" forName="arrow1" refType="h" fact="0.1"/>
          <dgm:constr type="t" for="ch" forName="arrow1" refType="h" fact="0.72"/>
          <dgm:constr type="l" for="ch" forName="arrow1" refType="w" fact="0.2875"/>
          <dgm:constr type="w" for="ch" forName="rectangle" refType="w" fact="0.6"/>
          <dgm:constr type="h" for="ch" forName="rectangle" refType="w" refFor="ch" refForName="rectangle" fact="0.25"/>
          <dgm:constr type="t" for="ch" forName="rectangle" refType="h" fact="0.8"/>
          <dgm:constr type="l" for="ch" forName="rectangle" refType="w" fact="0.05"/>
          <dgm:constr type="w" for="ch" forName="item1" refType="w" fact="0.35"/>
          <dgm:constr type="h" for="ch" forName="item1" refType="w" fact="0.35"/>
          <dgm:constr type="t" for="ch" forName="item1" refType="h" fact="0.05"/>
          <dgm:constr type="l" for="ch" forName="item1" refType="w" fact="0.125"/>
          <dgm:constr type="primFontSz" for="ch" forName="item1" op="equ" val="65"/>
          <dgm:constr type="w" for="ch" forName="funnel" refType="w" fact="0.7"/>
          <dgm:constr type="h" for="ch" forName="funnel" refType="h" fact="0.7"/>
          <dgm:constr type="t" for="ch" forName="funnel"/>
          <dgm:constr type="l" for="ch" forName="funnel"/>
        </dgm:constrLst>
      </dgm:if>
      <dgm:else name="Name3">
        <dgm:constrLst>
          <dgm:constr type="w" for="ch" forName="ellipse" refType="w" fact="0.645"/>
          <dgm:constr type="h" for="ch" forName="ellipse" refType="h" fact="0.28"/>
          <dgm:constr type="t" for="ch" forName="ellipse" refType="w" fact="0.0275"/>
          <dgm:constr type="l" for="ch" forName="ellipse" refType="w" fact="0.0265"/>
          <dgm:constr type="w" for="ch" forName="arrow1" refType="w" fact="0.125"/>
          <dgm:constr type="h" for="ch" forName="arrow1" refType="h" fact="0.1"/>
          <dgm:constr type="t" for="ch" forName="arrow1" refType="h" fact="0.72"/>
          <dgm:constr type="l" for="ch" forName="arrow1" refType="w" fact="0.2875"/>
          <dgm:constr type="w" for="ch" forName="rectangle" refType="w" fact="0.6"/>
          <dgm:constr type="h" for="ch" forName="rectangle" refType="w" refFor="ch" refForName="rectangle" fact="0.25"/>
          <dgm:constr type="t" for="ch" forName="rectangle" refType="h" fact="0.8"/>
          <dgm:constr type="l" for="ch" forName="rectangle" refType="w" fact="0.05"/>
          <dgm:constr type="primFontSz" for="ch" forName="rectangle" val="65"/>
          <dgm:constr type="w" for="ch" forName="item1" refType="w" fact="0.225"/>
          <dgm:constr type="h" for="ch" forName="item1" refType="w" fact="0.225"/>
          <dgm:constr type="t" for="ch" forName="item1" refType="h" fact="0.336"/>
          <dgm:constr type="l" for="ch" forName="item1" refType="w" fact="0.261"/>
          <dgm:constr type="primFontSz" for="ch" forName="item1" val="65"/>
          <dgm:constr type="w" for="ch" forName="item2" refType="w" fact="0.225"/>
          <dgm:constr type="h" for="ch" forName="item2" refType="w" fact="0.225"/>
          <dgm:constr type="t" for="ch" forName="item2" refType="h" fact="0.125"/>
          <dgm:constr type="l" for="ch" forName="item2" refType="w" fact="0.1"/>
          <dgm:constr type="primFontSz" for="ch" forName="item2" refType="primFontSz" refFor="ch" refForName="item1" op="equ"/>
          <dgm:constr type="w" for="ch" forName="item3" refType="w" fact="0.225"/>
          <dgm:constr type="h" for="ch" forName="item3" refType="w" fact="0.225"/>
          <dgm:constr type="t" for="ch" forName="item3" refType="h" fact="0.057"/>
          <dgm:constr type="l" for="ch" forName="item3" refType="w" fact="0.33"/>
          <dgm:constr type="primFontSz" for="ch" forName="item3" refType="primFontSz" refFor="ch" refForName="item1" op="equ"/>
          <dgm:constr type="w" for="ch" forName="funnel" refType="w" fact="0.7"/>
          <dgm:constr type="h" for="ch" forName="funnel" refType="h" fact="0.7"/>
          <dgm:constr type="t" for="ch" forName="funnel"/>
          <dgm:constr type="l" for="ch" forName="funnel"/>
        </dgm:constrLst>
      </dgm:else>
    </dgm:choose>
    <dgm:ruleLst/>
    <dgm:choose name="Name4">
      <dgm:if name="Name5" axis="ch" ptType="node" func="cnt" op="gte" val="1">
        <dgm:layoutNode name="ellipse" styleLbl="trBgShp">
          <dgm:alg type="sp"/>
          <dgm:shape xmlns:r="http://schemas.openxmlformats.org/officeDocument/2006/relationships" type="ellipse" r:blip="">
            <dgm:adjLst/>
          </dgm:shape>
          <dgm:presOf/>
          <dgm:constrLst/>
          <dgm:ruleLst/>
        </dgm:layoutNode>
        <dgm:layoutNode name="arrow1" styleLbl="fgShp">
          <dgm:alg type="sp"/>
          <dgm:shape xmlns:r="http://schemas.openxmlformats.org/officeDocument/2006/relationships" type="downArrow" r:blip="">
            <dgm:adjLst/>
          </dgm:shape>
          <dgm:presOf/>
          <dgm:constrLst/>
          <dgm:ruleLst/>
        </dgm:layoutNode>
        <dgm:layoutNode name="rectangle" styleLbl="revTx">
          <dgm:varLst>
            <dgm:bulletEnabled val="1"/>
          </dgm:varLst>
          <dgm:alg type="tx">
            <dgm:param type="txAnchorHorzCh" val="ctr"/>
          </dgm:alg>
          <dgm:shape xmlns:r="http://schemas.openxmlformats.org/officeDocument/2006/relationships" type="rect" r:blip="">
            <dgm:adjLst/>
          </dgm:shape>
          <dgm:choose name="Name6">
            <dgm:if name="Name7" axis="ch" ptType="node" func="cnt" op="equ" val="1">
              <dgm:presOf axis="ch desOrSelf" ptType="node node" st="1 1" cnt="1 0"/>
            </dgm:if>
            <dgm:if name="Name8" axis="ch" ptType="node" func="cnt" op="equ" val="2">
              <dgm:presOf axis="ch desOrSelf" ptType="node node" st="2 1" cnt="1 0"/>
            </dgm:if>
            <dgm:if name="Name9" axis="ch" ptType="node" func="cnt" op="equ" val="3">
              <dgm:presOf axis="ch desOrSelf" ptType="node node" st="3 1" cnt="1 0"/>
            </dgm:if>
            <dgm:else name="Name10">
              <dgm:presOf axis="ch desOrSelf" ptType="node node" st="4 1" cnt="1 0"/>
            </dgm:else>
          </dgm:choose>
          <dgm:constrLst/>
          <dgm:ruleLst>
            <dgm:rule type="primFontSz" val="5" fact="NaN" max="NaN"/>
          </dgm:ruleLst>
        </dgm:layoutNode>
        <dgm:forEach name="Name11" axis="ch" ptType="node" st="2" cnt="1">
          <dgm:layoutNode name="item1" styleLbl="node1">
            <dgm:varLst>
              <dgm:bulletEnabled val="1"/>
            </dgm:varLst>
            <dgm:alg type="tx">
              <dgm:param type="txAnchorVertCh" val="mid"/>
            </dgm:alg>
            <dgm:shape xmlns:r="http://schemas.openxmlformats.org/officeDocument/2006/relationships" type="ellipse" r:blip="">
              <dgm:adjLst/>
            </dgm:shape>
            <dgm:choose name="Name12">
              <dgm:if name="Name13" axis="root ch" ptType="all node" func="cnt" op="equ" val="1">
                <dgm:presOf/>
              </dgm:if>
              <dgm:if name="Name14" axis="root ch" ptType="all node" func="cnt" op="equ" val="2">
                <dgm:presOf axis="root ch desOrSelf" ptType="all node node" st="1 1 1" cnt="0 1 0"/>
              </dgm:if>
              <dgm:if name="Name15" axis="root ch" ptType="all node" func="cnt" op="equ" val="3">
                <dgm:presOf axis="root ch desOrSelf" ptType="all node node" st="1 2 1" cnt="0 1 0"/>
              </dgm:if>
              <dgm:else name="Name16">
                <dgm:presOf axis="root ch desOrSelf" ptType="all node node" st="1 3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name="Name17" axis="ch" ptType="node" st="3" cnt="1">
          <dgm:layoutNode name="item2" styleLbl="node1">
            <dgm:varLst>
              <dgm:bulletEnabled val="1"/>
            </dgm:varLst>
            <dgm:alg type="tx">
              <dgm:param type="txAnchorVertCh" val="mid"/>
            </dgm:alg>
            <dgm:shape xmlns:r="http://schemas.openxmlformats.org/officeDocument/2006/relationships" type="ellipse" r:blip="">
              <dgm:adjLst/>
            </dgm:shape>
            <dgm:choose name="Name18">
              <dgm:if name="Name19" axis="root ch" ptType="all node" func="cnt" op="equ" val="1">
                <dgm:presOf/>
              </dgm:if>
              <dgm:if name="Name20" axis="root ch" ptType="all node" func="cnt" op="equ" val="2">
                <dgm:presOf/>
              </dgm:if>
              <dgm:if name="Name21" axis="root ch" ptType="all node" func="cnt" op="equ" val="3">
                <dgm:presOf axis="root ch desOrSelf" ptType="all node node" st="1 1 1" cnt="0 1 0"/>
              </dgm:if>
              <dgm:else name="Name22">
                <dgm:presOf axis="root ch desOrSelf" ptType="all node node" st="1 2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name="Name23" axis="ch" ptType="node" st="4" cnt="1">
          <dgm:layoutNode name="item3" styleLbl="node1">
            <dgm:varLst>
              <dgm:bulletEnabled val="1"/>
            </dgm:varLst>
            <dgm:alg type="tx">
              <dgm:param type="txAnchorVertCh" val="mid"/>
            </dgm:alg>
            <dgm:shape xmlns:r="http://schemas.openxmlformats.org/officeDocument/2006/relationships" type="ellipse" r:blip="">
              <dgm:adjLst/>
            </dgm:shape>
            <dgm:choose name="Name24">
              <dgm:if name="Name25" axis="root ch" ptType="all node" func="cnt" op="equ" val="1">
                <dgm:presOf/>
              </dgm:if>
              <dgm:if name="Name26" axis="root ch" ptType="all node" func="cnt" op="equ" val="2">
                <dgm:presOf/>
              </dgm:if>
              <dgm:if name="Name27" axis="root ch" ptType="all node" func="cnt" op="equ" val="3">
                <dgm:presOf/>
              </dgm:if>
              <dgm:else name="Name28">
                <dgm:presOf axis="root ch desOrSelf" ptType="all node node" st="1 1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layoutNode name="funnel" styleLbl="trAlignAcc1">
          <dgm:alg type="sp"/>
          <dgm:shape xmlns:r="http://schemas.openxmlformats.org/officeDocument/2006/relationships" type="funnel" r:blip="">
            <dgm:adjLst/>
          </dgm:shape>
          <dgm:presOf/>
          <dgm:constrLst/>
          <dgm:ruleLst/>
        </dgm:layoutNode>
      </dgm:if>
      <dgm:else name="Name29"/>
    </dgm:choose>
  </dgm:layoutNode>
</dgm:layoutDef>
</file>

<file path=word/diagrams/layout5.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F1394-9C39-4B5E-95E4-249DD1AF3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46</Pages>
  <Words>9167</Words>
  <Characters>52254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HANANJ</dc:creator>
  <cp:lastModifiedBy>AOMAR</cp:lastModifiedBy>
  <cp:revision>28</cp:revision>
  <cp:lastPrinted>2019-05-09T09:13:00Z</cp:lastPrinted>
  <dcterms:created xsi:type="dcterms:W3CDTF">2019-05-09T07:23:00Z</dcterms:created>
  <dcterms:modified xsi:type="dcterms:W3CDTF">2019-05-13T09:41:00Z</dcterms:modified>
</cp:coreProperties>
</file>